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5E333F" w:rsidRPr="00036812" w14:paraId="54E20C71" w14:textId="77777777" w:rsidTr="005E333F">
        <w:trPr>
          <w:trHeight w:val="2276"/>
          <w:jc w:val="center"/>
        </w:trPr>
        <w:tc>
          <w:tcPr>
            <w:tcW w:w="5000" w:type="pct"/>
            <w:vAlign w:val="center"/>
          </w:tcPr>
          <w:p w14:paraId="23D8F2A9" w14:textId="77413D2C" w:rsidR="005E333F" w:rsidRDefault="00EA7A0B" w:rsidP="00AF69E4">
            <w:pPr>
              <w:pStyle w:val="Title"/>
              <w:rPr>
                <w:rFonts w:eastAsia="Calibri"/>
                <w:color w:val="auto"/>
                <w:spacing w:val="0"/>
                <w:kern w:val="0"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9F37B0" wp14:editId="7BAF0862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293370</wp:posOffset>
                  </wp:positionV>
                  <wp:extent cx="2159635" cy="702945"/>
                  <wp:effectExtent l="0" t="0" r="0" b="1905"/>
                  <wp:wrapNone/>
                  <wp:docPr id="15641890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A2DC05" wp14:editId="2B010FBE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107315</wp:posOffset>
                  </wp:positionV>
                  <wp:extent cx="2160000" cy="945099"/>
                  <wp:effectExtent l="0" t="0" r="0" b="7620"/>
                  <wp:wrapThrough wrapText="bothSides">
                    <wp:wrapPolygon edited="0">
                      <wp:start x="0" y="0"/>
                      <wp:lineTo x="0" y="21339"/>
                      <wp:lineTo x="21340" y="21339"/>
                      <wp:lineTo x="21340" y="0"/>
                      <wp:lineTo x="0" y="0"/>
                    </wp:wrapPolygon>
                  </wp:wrapThrough>
                  <wp:docPr id="19949256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9" b="14907"/>
                          <a:stretch/>
                        </pic:blipFill>
                        <pic:spPr bwMode="auto">
                          <a:xfrm>
                            <a:off x="0" y="0"/>
                            <a:ext cx="2160000" cy="94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5582" w:rsidRPr="00036812" w14:paraId="367B4DB0" w14:textId="77777777" w:rsidTr="00692424">
        <w:trPr>
          <w:trHeight w:val="7937"/>
          <w:jc w:val="center"/>
        </w:trPr>
        <w:tc>
          <w:tcPr>
            <w:tcW w:w="5000" w:type="pct"/>
          </w:tcPr>
          <w:p w14:paraId="7F043D17" w14:textId="468508CC" w:rsidR="00C35582" w:rsidRPr="001F11BC" w:rsidRDefault="00EA7A0B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7FD430" wp14:editId="5FA3EAAA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-86995</wp:posOffset>
                  </wp:positionV>
                  <wp:extent cx="2160000" cy="623287"/>
                  <wp:effectExtent l="0" t="0" r="0" b="5715"/>
                  <wp:wrapNone/>
                  <wp:docPr id="1666787162" name="Picture 1" descr="A blue and whit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787162" name="Picture 1" descr="A blue and white text on a black backgroun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62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A886BA" w14:textId="2ABA3735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3C4572A6" w14:textId="0293AC6A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52944711" w14:textId="0E38C999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1D772BC6" w14:textId="2093E8DE" w:rsidR="00C35582" w:rsidRPr="006F785F" w:rsidRDefault="006F785F" w:rsidP="006F785F">
            <w:pPr>
              <w:pStyle w:val="Title"/>
              <w:rPr>
                <w:b/>
              </w:rPr>
            </w:pPr>
            <w:r>
              <w:rPr>
                <w:b/>
              </w:rPr>
              <w:t xml:space="preserve">Type the </w:t>
            </w:r>
            <w:r w:rsidR="007A0B21" w:rsidRPr="006F785F">
              <w:rPr>
                <w:b/>
              </w:rPr>
              <w:t>title of the paper</w:t>
            </w:r>
          </w:p>
          <w:p w14:paraId="7FD7012D" w14:textId="3E1899BE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765508AA" w14:textId="523BE213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1794635A" w14:textId="56C46F53" w:rsid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</w:rPr>
              <w:t>Author Name1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>, Author Name2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and Author Name3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</w:p>
          <w:p w14:paraId="73E0A811" w14:textId="7C47D34A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B43A21" w14:textId="7E40E098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  <w:proofErr w:type="gramEnd"/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4726D3F0" w14:textId="03FC9FDD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379D70C2" w14:textId="15FF444B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23BE4405" w14:textId="240EC48C" w:rsidR="00C35582" w:rsidRPr="001F11BC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554440EB" w14:textId="7A80B4C1" w:rsidR="00C35582" w:rsidRPr="00036812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A256B1" w:rsidRPr="00036812" w14:paraId="1A874821" w14:textId="77777777" w:rsidTr="005E333F">
        <w:trPr>
          <w:trHeight w:val="119"/>
          <w:jc w:val="center"/>
        </w:trPr>
        <w:tc>
          <w:tcPr>
            <w:tcW w:w="5000" w:type="pct"/>
            <w:vAlign w:val="center"/>
          </w:tcPr>
          <w:p w14:paraId="68426B53" w14:textId="77777777" w:rsidR="00692424" w:rsidRDefault="00045FA4" w:rsidP="00692424">
            <w:pPr>
              <w:spacing w:after="0"/>
              <w:jc w:val="center"/>
            </w:pPr>
            <w:r w:rsidRPr="00036812">
              <w:t>Contributed paper p</w:t>
            </w:r>
            <w:r w:rsidR="00692424">
              <w:t>repared for presentation at the</w:t>
            </w:r>
            <w:r w:rsidR="007A0B21">
              <w:t xml:space="preserve"> </w:t>
            </w:r>
          </w:p>
          <w:p w14:paraId="527E74F5" w14:textId="51EC16C5" w:rsidR="00692424" w:rsidRDefault="009E3A34" w:rsidP="00692424">
            <w:pPr>
              <w:spacing w:after="0"/>
              <w:jc w:val="center"/>
            </w:pPr>
            <w:r>
              <w:t>7</w:t>
            </w:r>
            <w:r w:rsidR="00681D36" w:rsidRPr="00681D36">
              <w:rPr>
                <w:vertAlign w:val="superscript"/>
              </w:rPr>
              <w:t>th</w:t>
            </w:r>
            <w:r w:rsidR="00681D36">
              <w:t xml:space="preserve"> </w:t>
            </w:r>
            <w:r w:rsidR="00F6715C">
              <w:t>Symposium</w:t>
            </w:r>
            <w:r w:rsidR="00692424">
              <w:t xml:space="preserve"> on Agri-Tech Economics</w:t>
            </w:r>
            <w:r w:rsidR="009B7E16">
              <w:t xml:space="preserve"> for Sustainable Futures</w:t>
            </w:r>
          </w:p>
          <w:p w14:paraId="33603C5E" w14:textId="0622B29F" w:rsidR="00A256B1" w:rsidRDefault="009E3A34" w:rsidP="00692424">
            <w:pPr>
              <w:spacing w:after="0"/>
              <w:jc w:val="center"/>
            </w:pPr>
            <w:r>
              <w:t>28</w:t>
            </w:r>
            <w:r w:rsidR="009B7E16">
              <w:t>-</w:t>
            </w:r>
            <w:r w:rsidR="003646DF">
              <w:t>2</w:t>
            </w:r>
            <w:r>
              <w:t>9</w:t>
            </w:r>
            <w:r w:rsidR="00692424">
              <w:t xml:space="preserve"> </w:t>
            </w:r>
            <w:r w:rsidR="00681D36">
              <w:t>September</w:t>
            </w:r>
            <w:r w:rsidR="00692424">
              <w:t xml:space="preserve"> 20</w:t>
            </w:r>
            <w:r w:rsidR="00F6715C">
              <w:t>2</w:t>
            </w:r>
            <w:r>
              <w:t>4</w:t>
            </w:r>
            <w:r w:rsidR="00692424">
              <w:t>, University</w:t>
            </w:r>
            <w:r>
              <w:t xml:space="preserve"> of Reading</w:t>
            </w:r>
            <w:r w:rsidR="00692424">
              <w:t xml:space="preserve">, </w:t>
            </w:r>
            <w:r>
              <w:t>Reading</w:t>
            </w:r>
            <w:r w:rsidR="00692424">
              <w:t>, U.K.</w:t>
            </w:r>
          </w:p>
          <w:p w14:paraId="14792276" w14:textId="062BC1F8" w:rsidR="00C54342" w:rsidRDefault="00C54342" w:rsidP="00692424">
            <w:pPr>
              <w:spacing w:after="0"/>
              <w:jc w:val="center"/>
            </w:pPr>
          </w:p>
          <w:p w14:paraId="57BCFAF1" w14:textId="77777777" w:rsidR="00C54342" w:rsidRDefault="00C54342" w:rsidP="00692424">
            <w:pPr>
              <w:spacing w:after="0"/>
              <w:jc w:val="center"/>
            </w:pPr>
          </w:p>
          <w:p w14:paraId="01887AB3" w14:textId="77777777" w:rsidR="00692424" w:rsidRDefault="00692424" w:rsidP="00692424">
            <w:pPr>
              <w:spacing w:after="0"/>
              <w:jc w:val="center"/>
            </w:pPr>
          </w:p>
          <w:p w14:paraId="0DF8BD6A" w14:textId="21D2EE67" w:rsidR="003F626D" w:rsidRPr="00036812" w:rsidRDefault="003F626D" w:rsidP="007A0B21">
            <w:pPr>
              <w:jc w:val="center"/>
            </w:pPr>
            <w:r w:rsidRPr="00036812">
              <w:rPr>
                <w:bCs/>
                <w:i/>
                <w:szCs w:val="24"/>
              </w:rPr>
              <w:t>Copyright 20</w:t>
            </w:r>
            <w:r w:rsidR="00F6715C">
              <w:rPr>
                <w:bCs/>
                <w:i/>
                <w:szCs w:val="24"/>
              </w:rPr>
              <w:t>2</w:t>
            </w:r>
            <w:r w:rsidR="009E3A34">
              <w:rPr>
                <w:bCs/>
                <w:i/>
                <w:szCs w:val="24"/>
              </w:rPr>
              <w:t>4</w:t>
            </w:r>
            <w:r w:rsidRPr="00036812">
              <w:rPr>
                <w:bCs/>
                <w:i/>
                <w:szCs w:val="24"/>
              </w:rPr>
              <w:t xml:space="preserve"> by Authors names. All rights reserved. Readers may make verbatim copies of this document for non-commercial purposes by any means, provided that this copyright notice appears on all such copies.</w:t>
            </w:r>
          </w:p>
        </w:tc>
      </w:tr>
    </w:tbl>
    <w:p w14:paraId="52E6CB71" w14:textId="65F431AC" w:rsidR="00A256B1" w:rsidRPr="00681D36" w:rsidRDefault="00A256B1" w:rsidP="00C54342">
      <w:pPr>
        <w:pStyle w:val="Heading1"/>
        <w:jc w:val="center"/>
      </w:pPr>
      <w:r>
        <w:br w:type="page"/>
      </w:r>
      <w:r w:rsidR="006F785F" w:rsidRPr="00C54342">
        <w:rPr>
          <w:sz w:val="36"/>
        </w:rPr>
        <w:lastRenderedPageBreak/>
        <w:t>Type the title of the paper</w:t>
      </w:r>
    </w:p>
    <w:p w14:paraId="7B178364" w14:textId="7502FFB4" w:rsidR="003F626D" w:rsidRPr="001F11BC" w:rsidRDefault="007A0B21" w:rsidP="003F626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Author Name1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AB</w:t>
      </w:r>
      <w:r w:rsidR="00AA5E20">
        <w:rPr>
          <w:rFonts w:ascii="Calibri" w:hAnsi="Calibri"/>
          <w:sz w:val="28"/>
          <w:szCs w:val="28"/>
          <w:vertAlign w:val="superscript"/>
        </w:rPr>
        <w:t>*</w:t>
      </w:r>
      <w:r w:rsidR="000868F1" w:rsidRPr="000868F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Author Name2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C</w:t>
      </w:r>
      <w:r w:rsidR="000868F1" w:rsidRPr="000868F1">
        <w:rPr>
          <w:rFonts w:ascii="Calibri" w:hAnsi="Calibri"/>
          <w:sz w:val="28"/>
          <w:szCs w:val="28"/>
        </w:rPr>
        <w:t xml:space="preserve"> and </w:t>
      </w:r>
      <w:r>
        <w:rPr>
          <w:rFonts w:ascii="Calibri" w:hAnsi="Calibri"/>
          <w:sz w:val="28"/>
          <w:szCs w:val="28"/>
        </w:rPr>
        <w:t>Author Name3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D</w:t>
      </w:r>
    </w:p>
    <w:p w14:paraId="24D9B882" w14:textId="0B761DF1" w:rsidR="000868F1" w:rsidRPr="00C54342" w:rsidRDefault="003F626D" w:rsidP="00437308">
      <w:pPr>
        <w:spacing w:after="0"/>
        <w:jc w:val="center"/>
        <w:rPr>
          <w:rFonts w:ascii="Calibri" w:hAnsi="Calibri"/>
          <w:i/>
          <w:szCs w:val="28"/>
        </w:rPr>
      </w:pPr>
      <w:proofErr w:type="gramStart"/>
      <w:r w:rsidRPr="00C54342">
        <w:rPr>
          <w:rFonts w:ascii="Calibri" w:hAnsi="Calibri"/>
          <w:i/>
          <w:szCs w:val="28"/>
          <w:vertAlign w:val="superscript"/>
        </w:rPr>
        <w:t>A</w:t>
      </w:r>
      <w:proofErr w:type="gramEnd"/>
      <w:r w:rsidR="000868F1" w:rsidRPr="00C54342">
        <w:rPr>
          <w:rFonts w:ascii="Calibri" w:hAnsi="Calibri"/>
          <w:i/>
          <w:szCs w:val="28"/>
          <w:vertAlign w:val="superscript"/>
        </w:rPr>
        <w:t xml:space="preserve"> </w:t>
      </w:r>
      <w:r w:rsidR="007A0B21" w:rsidRPr="00C54342">
        <w:rPr>
          <w:rFonts w:ascii="Calibri" w:hAnsi="Calibri"/>
          <w:i/>
          <w:szCs w:val="28"/>
        </w:rPr>
        <w:t>Affiliation</w:t>
      </w:r>
      <w:r w:rsidR="000868F1" w:rsidRPr="00C54342">
        <w:rPr>
          <w:rFonts w:ascii="Calibri" w:hAnsi="Calibri"/>
          <w:i/>
          <w:szCs w:val="28"/>
        </w:rPr>
        <w:t xml:space="preserve"> </w:t>
      </w:r>
      <w:r w:rsidR="007A0B21" w:rsidRPr="00C54342">
        <w:rPr>
          <w:rFonts w:ascii="Calibri" w:hAnsi="Calibri"/>
          <w:i/>
          <w:szCs w:val="28"/>
        </w:rPr>
        <w:t>such as institute, city, county/state, country</w:t>
      </w:r>
    </w:p>
    <w:p w14:paraId="4F88105E" w14:textId="74E16258" w:rsidR="000868F1" w:rsidRPr="00C54342" w:rsidRDefault="000868F1" w:rsidP="00437308">
      <w:pPr>
        <w:spacing w:after="0"/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B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31E8C861" w14:textId="1BCAF0FB" w:rsidR="000868F1" w:rsidRPr="00C54342" w:rsidRDefault="000868F1" w:rsidP="00437308">
      <w:pPr>
        <w:spacing w:after="0"/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C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04816D1C" w14:textId="69EFDC9F" w:rsidR="00AA5E20" w:rsidRPr="00C54342" w:rsidRDefault="000868F1" w:rsidP="00437308">
      <w:pPr>
        <w:spacing w:after="0"/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D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0ADBF6A2" w14:textId="77777777" w:rsidR="00AF69E4" w:rsidRPr="00681D36" w:rsidRDefault="00060540" w:rsidP="00C56133">
      <w:pPr>
        <w:pStyle w:val="Heading1"/>
      </w:pPr>
      <w:r w:rsidRPr="00681D36">
        <w:t>Abstract</w:t>
      </w:r>
    </w:p>
    <w:p w14:paraId="3391557B" w14:textId="07A55497" w:rsidR="003F626D" w:rsidRPr="003F626D" w:rsidRDefault="00817117" w:rsidP="003F626D">
      <w:r>
        <w:t>Provide an abstract</w:t>
      </w:r>
      <w:r w:rsidR="00904596" w:rsidRPr="00904596">
        <w:t xml:space="preserve"> </w:t>
      </w:r>
      <w:r w:rsidR="00933E98">
        <w:t xml:space="preserve">- </w:t>
      </w:r>
      <w:r w:rsidR="007A0B21">
        <w:t>300 words</w:t>
      </w:r>
      <w:r w:rsidR="00933E98">
        <w:t xml:space="preserve"> maximum</w:t>
      </w:r>
      <w:r w:rsidR="007A0B21">
        <w:t>.</w:t>
      </w:r>
    </w:p>
    <w:p w14:paraId="6989251A" w14:textId="77777777" w:rsidR="00597D8B" w:rsidRPr="00681D36" w:rsidRDefault="00597D8B" w:rsidP="00597D8B">
      <w:pPr>
        <w:pStyle w:val="Heading1"/>
      </w:pPr>
      <w:r w:rsidRPr="00681D36">
        <w:t>Keywords</w:t>
      </w:r>
    </w:p>
    <w:p w14:paraId="4D6132FB" w14:textId="52B8BBF7" w:rsidR="003F626D" w:rsidRDefault="007A0B21" w:rsidP="003F626D">
      <w:r>
        <w:t>3-6 keywords</w:t>
      </w:r>
    </w:p>
    <w:p w14:paraId="140FD963" w14:textId="723338CE" w:rsidR="00F6715C" w:rsidRPr="00681D36" w:rsidRDefault="00F6715C" w:rsidP="00F6715C">
      <w:pPr>
        <w:pStyle w:val="Heading1"/>
      </w:pPr>
      <w:r w:rsidRPr="00681D36">
        <w:t>Presenter Profile</w:t>
      </w:r>
    </w:p>
    <w:p w14:paraId="51F282F3" w14:textId="0BCFC2F2" w:rsidR="00AA5E20" w:rsidRDefault="00F6715C">
      <w:pPr>
        <w:spacing w:after="0"/>
        <w:jc w:val="left"/>
      </w:pPr>
      <w:r>
        <w:t xml:space="preserve">Provide the presenters biography in </w:t>
      </w:r>
      <w:r w:rsidR="009B7E16">
        <w:t>less than</w:t>
      </w:r>
      <w:r>
        <w:t xml:space="preserve"> 100 words.</w:t>
      </w:r>
    </w:p>
    <w:p w14:paraId="3C76724A" w14:textId="77777777" w:rsidR="00B17746" w:rsidRDefault="00B17746">
      <w:pPr>
        <w:spacing w:after="0"/>
        <w:jc w:val="left"/>
      </w:pPr>
    </w:p>
    <w:p w14:paraId="2D56E0B7" w14:textId="77777777" w:rsidR="00AA5E20" w:rsidRDefault="00AA5E20">
      <w:pPr>
        <w:spacing w:after="0"/>
        <w:jc w:val="left"/>
      </w:pPr>
    </w:p>
    <w:p w14:paraId="78F79FF3" w14:textId="0C46038D" w:rsidR="00AA5E20" w:rsidRPr="00B17746" w:rsidRDefault="00AA5E20" w:rsidP="00AA5E20">
      <w:pPr>
        <w:spacing w:after="0"/>
        <w:rPr>
          <w:rFonts w:cstheme="minorHAnsi"/>
          <w:sz w:val="22"/>
          <w:szCs w:val="24"/>
        </w:rPr>
      </w:pPr>
      <w:r w:rsidRPr="00B17746">
        <w:rPr>
          <w:rFonts w:cstheme="minorHAnsi"/>
          <w:sz w:val="22"/>
          <w:szCs w:val="24"/>
        </w:rPr>
        <w:t xml:space="preserve">* Corresponding Author: FirstName Surname, Institution, Town/City, State/Province, Country Postcode, email: </w:t>
      </w:r>
      <w:r w:rsidRPr="00B17746">
        <w:rPr>
          <w:rFonts w:cstheme="minorHAnsi"/>
          <w:sz w:val="22"/>
        </w:rPr>
        <w:t>####@###.com</w:t>
      </w:r>
    </w:p>
    <w:p w14:paraId="68D78111" w14:textId="5F968AC7" w:rsidR="000F5250" w:rsidRDefault="000F5250">
      <w:pPr>
        <w:spacing w:after="0"/>
        <w:jc w:val="left"/>
        <w:rPr>
          <w:rFonts w:ascii="Arial" w:eastAsia="Times New Roman" w:hAnsi="Arial"/>
          <w:b/>
          <w:bCs/>
          <w:color w:val="000000"/>
          <w:sz w:val="28"/>
          <w:szCs w:val="28"/>
        </w:rPr>
      </w:pPr>
      <w:r>
        <w:br w:type="page"/>
      </w:r>
    </w:p>
    <w:p w14:paraId="24EDAD8A" w14:textId="0F8B2A03" w:rsidR="00597D8B" w:rsidRPr="00681D36" w:rsidRDefault="00597D8B" w:rsidP="00597D8B">
      <w:pPr>
        <w:pStyle w:val="Heading1"/>
      </w:pPr>
      <w:r w:rsidRPr="00681D36">
        <w:t>Introduction</w:t>
      </w:r>
    </w:p>
    <w:p w14:paraId="4D273F41" w14:textId="6FAD5865" w:rsidR="00597D8B" w:rsidRDefault="006F785F" w:rsidP="00060540">
      <w:r>
        <w:t xml:space="preserve">Contributed </w:t>
      </w:r>
      <w:r w:rsidRPr="006F785F">
        <w:t xml:space="preserve">Papers should be </w:t>
      </w:r>
      <w:r w:rsidR="002E27C3">
        <w:t xml:space="preserve">no more than </w:t>
      </w:r>
      <w:r w:rsidR="00933E98">
        <w:t>6</w:t>
      </w:r>
      <w:r w:rsidRPr="006F785F">
        <w:t>,000 words in length</w:t>
      </w:r>
      <w:r w:rsidR="00093351">
        <w:t xml:space="preserve"> (excludes tables, figures and labels, but includes references)</w:t>
      </w:r>
      <w:r w:rsidRPr="006F785F">
        <w:t xml:space="preserve">, with full papers to be provided to </w:t>
      </w:r>
      <w:r>
        <w:t>the Global Institute for Agri-Tech Economics</w:t>
      </w:r>
      <w:r w:rsidRPr="006F785F">
        <w:t xml:space="preserve"> by the </w:t>
      </w:r>
      <w:r w:rsidR="00F6715C">
        <w:t>specified due</w:t>
      </w:r>
      <w:r w:rsidRPr="006F785F">
        <w:t xml:space="preserve"> date</w:t>
      </w:r>
      <w:r w:rsidR="002D7669">
        <w:t xml:space="preserve"> to ensure sufficient time is available for editing and review</w:t>
      </w:r>
      <w:r w:rsidRPr="006F785F">
        <w:t>.</w:t>
      </w:r>
    </w:p>
    <w:p w14:paraId="27150D73" w14:textId="0E0A837F" w:rsidR="002D7669" w:rsidRDefault="002D7669" w:rsidP="00060540">
      <w:r>
        <w:t>Extended Abstracts should be no more than 3 pages in total (excluding the title page).</w:t>
      </w:r>
    </w:p>
    <w:p w14:paraId="75B27C53" w14:textId="77777777" w:rsidR="00FD5F9F" w:rsidRPr="00681D36" w:rsidRDefault="00FD5F9F" w:rsidP="00FD5F9F">
      <w:pPr>
        <w:pStyle w:val="Heading1"/>
      </w:pPr>
      <w:r w:rsidRPr="00681D36">
        <w:t>Method</w:t>
      </w:r>
      <w:r w:rsidR="003F626D" w:rsidRPr="00681D36">
        <w:t>s</w:t>
      </w:r>
    </w:p>
    <w:p w14:paraId="021BCAD5" w14:textId="5A2DF93A" w:rsidR="00B3498D" w:rsidRPr="00B3498D" w:rsidRDefault="00834414" w:rsidP="00B3498D">
      <w:pPr>
        <w:rPr>
          <w:lang w:val="en-GB"/>
        </w:rPr>
      </w:pPr>
      <w:r>
        <w:t>If you are presenting equations, you must use the Equation Editor functionality of Word</w:t>
      </w:r>
      <w:r w:rsidR="00C921C5">
        <w:t xml:space="preserve"> to ensure they are properly presented in the proceedings</w:t>
      </w:r>
      <w:r>
        <w:t>.</w:t>
      </w:r>
      <w:r w:rsidR="006356A9">
        <w:t xml:space="preserve"> For example</w:t>
      </w:r>
      <w:r w:rsidR="00B3498D">
        <w:t>,</w:t>
      </w:r>
      <w:r w:rsidR="006356A9">
        <w:t xml:space="preserve"> from </w:t>
      </w:r>
      <w:r w:rsidR="00B3498D">
        <w:fldChar w:fldCharType="begin"/>
      </w:r>
      <w:r w:rsidR="00B3498D">
        <w:instrText xml:space="preserve"> ADDIN EN.CITE &lt;EndNote&gt;&lt;Cite AuthorYear="1"&gt;&lt;Author&gt;Holland&lt;/Author&gt;&lt;Year&gt;2021&lt;/Year&gt;&lt;RecNum&gt;1658&lt;/RecNum&gt;&lt;DisplayText&gt;Holland and Behrendt (2021)&lt;/DisplayText&gt;&lt;record&gt;&lt;rec-number&gt;1658&lt;/rec-number&gt;&lt;foreign-keys&gt;&lt;key app="EN" db-id="atxwedpayarrrpewdawvw096prxrpppvszwp" timestamp="1606937132"&gt;1658&lt;/key&gt;&lt;/foreign-keys&gt;&lt;ref-type name="Journal Article"&gt;17&lt;/ref-type&gt;&lt;contributors&gt;&lt;authors&gt;&lt;author&gt;Holland, J.E.&lt;/author&gt;&lt;author&gt;Behrendt, K.&lt;/author&gt;&lt;/authors&gt;&lt;/contributors&gt;&lt;titles&gt;&lt;title&gt;The economics of liming in arable crop rotations: analysis of the 35-year Rothamsted and Woburn liming experiments&lt;/title&gt;&lt;secondary-title&gt;Soil Use and Management&lt;/secondary-title&gt;&lt;/titles&gt;&lt;periodical&gt;&lt;full-title&gt;Soil Use and Management&lt;/full-title&gt;&lt;/periodical&gt;&lt;pages&gt;342-352&lt;/pages&gt;&lt;volume&gt;37&lt;/volume&gt;&lt;number&gt;2&lt;/number&gt;&lt;dates&gt;&lt;year&gt;2021&lt;/year&gt;&lt;/dates&gt;&lt;isbn&gt;0266-0032&lt;/isbn&gt;&lt;urls&gt;&lt;related-urls&gt;&lt;url&gt;https://onlinelibrary.wiley.com/doi/abs/10.1111/sum.12682&lt;/url&gt;&lt;/related-urls&gt;&lt;/urls&gt;&lt;electronic-resource-num&gt;http://dx.doi.org/10.1111/sum.12682 &lt;/electronic-resource-num&gt;&lt;/record&gt;&lt;/Cite&gt;&lt;/EndNote&gt;</w:instrText>
      </w:r>
      <w:r w:rsidR="00B3498D">
        <w:fldChar w:fldCharType="separate"/>
      </w:r>
      <w:r w:rsidR="00B3498D">
        <w:rPr>
          <w:noProof/>
        </w:rPr>
        <w:t>Holland and Behrendt (2021)</w:t>
      </w:r>
      <w:r w:rsidR="00B3498D">
        <w:fldChar w:fldCharType="end"/>
      </w:r>
      <w:r w:rsidR="00B3498D">
        <w:t>…</w:t>
      </w:r>
      <w:r w:rsidR="00B3498D" w:rsidRPr="00B3498D">
        <w:rPr>
          <w:rFonts w:ascii="Times New Roman" w:eastAsiaTheme="minorHAnsi" w:hAnsi="Times New Roman"/>
          <w:sz w:val="22"/>
          <w:lang w:val="en-GB"/>
        </w:rPr>
        <w:t xml:space="preserve"> </w:t>
      </w:r>
      <w:r w:rsidR="00B3498D" w:rsidRPr="00B3498D">
        <w:rPr>
          <w:lang w:val="en-GB"/>
        </w:rPr>
        <w:t>as follows:</w:t>
      </w:r>
    </w:p>
    <w:p w14:paraId="7F40F889" w14:textId="5FB0969F" w:rsidR="00B3498D" w:rsidRPr="00B3498D" w:rsidRDefault="00B3498D" w:rsidP="00B3498D">
      <w:pPr>
        <w:rPr>
          <w:lang w:val="en-GB"/>
        </w:rPr>
      </w:pPr>
      <m:oMath>
        <m:r>
          <w:rPr>
            <w:rFonts w:ascii="Cambria Math" w:hAnsi="Cambria Math"/>
            <w:lang w:val="en-GB"/>
          </w:rPr>
          <m:t>NPVa=NPV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-1</m:t>
                </m:r>
              </m:den>
            </m:f>
          </m:e>
        </m:d>
      </m:oMath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  <w:t>(1)</w:t>
      </w:r>
    </w:p>
    <w:p w14:paraId="7A8B9196" w14:textId="77777777" w:rsidR="00B3498D" w:rsidRPr="00B3498D" w:rsidRDefault="00B3498D" w:rsidP="00B3498D">
      <w:pPr>
        <w:rPr>
          <w:lang w:val="en-GB"/>
        </w:rPr>
      </w:pPr>
      <w:r w:rsidRPr="00B3498D">
        <w:rPr>
          <w:lang w:val="en-GB"/>
        </w:rPr>
        <w:t xml:space="preserve">where </w:t>
      </w:r>
      <w:r w:rsidRPr="00B3498D">
        <w:rPr>
          <w:i/>
          <w:lang w:val="en-GB"/>
        </w:rPr>
        <w:t>NPV</w:t>
      </w:r>
      <w:r w:rsidRPr="00B3498D">
        <w:rPr>
          <w:lang w:val="en-GB"/>
        </w:rPr>
        <w:t xml:space="preserve"> is the net present value (£ ha</w:t>
      </w:r>
      <w:r w:rsidRPr="00B3498D">
        <w:rPr>
          <w:vertAlign w:val="superscript"/>
          <w:lang w:val="en-GB"/>
        </w:rPr>
        <w:t>-1</w:t>
      </w:r>
      <w:r w:rsidRPr="00B3498D">
        <w:rPr>
          <w:lang w:val="en-GB"/>
        </w:rPr>
        <w:t xml:space="preserve">), </w:t>
      </w:r>
      <w:r w:rsidRPr="00B3498D">
        <w:rPr>
          <w:i/>
          <w:lang w:val="en-GB"/>
        </w:rPr>
        <w:t>i</w:t>
      </w:r>
      <w:r w:rsidRPr="00B3498D">
        <w:rPr>
          <w:lang w:val="en-GB"/>
        </w:rPr>
        <w:t xml:space="preserve"> is the discount rate, and </w:t>
      </w:r>
      <w:r w:rsidRPr="00B3498D">
        <w:rPr>
          <w:i/>
          <w:lang w:val="en-GB"/>
        </w:rPr>
        <w:t>n</w:t>
      </w:r>
      <w:r w:rsidRPr="00B3498D">
        <w:rPr>
          <w:lang w:val="en-GB"/>
        </w:rPr>
        <w:t xml:space="preserve"> is the total number of years that the </w:t>
      </w:r>
      <w:r w:rsidRPr="00B3498D">
        <w:rPr>
          <w:i/>
          <w:lang w:val="en-GB"/>
        </w:rPr>
        <w:t>NPV</w:t>
      </w:r>
      <w:r w:rsidRPr="00B3498D">
        <w:rPr>
          <w:lang w:val="en-GB"/>
        </w:rPr>
        <w:t xml:space="preserve"> spans. </w:t>
      </w:r>
      <w:r w:rsidRPr="00B3498D">
        <w:rPr>
          <w:i/>
          <w:lang w:val="en-GB"/>
        </w:rPr>
        <w:t>NPV</w:t>
      </w:r>
      <w:r w:rsidRPr="00B3498D">
        <w:rPr>
          <w:lang w:val="en-GB"/>
        </w:rPr>
        <w:t xml:space="preserve"> is the sum of discounted future cash flows, such that:</w:t>
      </w:r>
    </w:p>
    <w:p w14:paraId="575D14F6" w14:textId="1DD39CAA" w:rsidR="00B3498D" w:rsidRPr="00B3498D" w:rsidRDefault="00B3498D" w:rsidP="00B3498D">
      <w:pPr>
        <w:rPr>
          <w:lang w:val="en-GB"/>
        </w:rPr>
      </w:pPr>
      <m:oMath>
        <m:r>
          <w:rPr>
            <w:rFonts w:ascii="Cambria Math" w:hAnsi="Cambria Math"/>
            <w:lang w:val="en-GB"/>
          </w:rPr>
          <m:t>NPV=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GB"/>
              </w:rPr>
            </m:ctrlPr>
          </m:naryPr>
          <m:sub>
            <m:r>
              <w:rPr>
                <w:rFonts w:ascii="Cambria Math" w:hAnsi="Cambria Math"/>
                <w:lang w:val="en-GB"/>
              </w:rPr>
              <m:t>j=1</m:t>
            </m:r>
          </m:sub>
          <m:sup>
            <m:r>
              <w:rPr>
                <w:rFonts w:ascii="Cambria Math" w:hAnsi="Cambria Math"/>
                <w:lang w:val="en-GB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j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1+i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j</m:t>
                        </m:r>
                      </m:sup>
                    </m:sSup>
                  </m:den>
                </m:f>
              </m:e>
            </m:d>
          </m:e>
        </m:nary>
      </m:oMath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</w:r>
      <w:r w:rsidRPr="00B3498D">
        <w:rPr>
          <w:lang w:val="en-GB"/>
        </w:rPr>
        <w:tab/>
        <w:t>(2)</w:t>
      </w:r>
    </w:p>
    <w:p w14:paraId="062A3383" w14:textId="28FA09BE" w:rsidR="006356A9" w:rsidRPr="006356A9" w:rsidRDefault="00B3498D" w:rsidP="00B3498D">
      <w:r w:rsidRPr="00B3498D">
        <w:rPr>
          <w:lang w:val="en-GB"/>
        </w:rPr>
        <w:t xml:space="preserve">where </w:t>
      </w:r>
      <w:proofErr w:type="spellStart"/>
      <w:r w:rsidRPr="00B3498D">
        <w:rPr>
          <w:i/>
          <w:lang w:val="en-GB"/>
        </w:rPr>
        <w:t>B</w:t>
      </w:r>
      <w:r w:rsidRPr="00B3498D">
        <w:rPr>
          <w:i/>
          <w:vertAlign w:val="subscript"/>
          <w:lang w:val="en-GB"/>
        </w:rPr>
        <w:t>j</w:t>
      </w:r>
      <w:proofErr w:type="spellEnd"/>
      <w:r w:rsidRPr="00B3498D">
        <w:rPr>
          <w:lang w:val="en-GB"/>
        </w:rPr>
        <w:t xml:space="preserve"> is the cash inflow in the </w:t>
      </w:r>
      <w:proofErr w:type="spellStart"/>
      <w:r w:rsidRPr="00B3498D">
        <w:rPr>
          <w:i/>
          <w:lang w:val="en-GB"/>
        </w:rPr>
        <w:t>j</w:t>
      </w:r>
      <w:r w:rsidRPr="00B3498D">
        <w:rPr>
          <w:vertAlign w:val="superscript"/>
          <w:lang w:val="en-GB"/>
        </w:rPr>
        <w:t>th</w:t>
      </w:r>
      <w:proofErr w:type="spellEnd"/>
      <w:r w:rsidRPr="00B3498D">
        <w:rPr>
          <w:lang w:val="en-GB"/>
        </w:rPr>
        <w:t xml:space="preserve"> project year, and </w:t>
      </w:r>
      <w:proofErr w:type="spellStart"/>
      <w:r w:rsidRPr="00B3498D">
        <w:rPr>
          <w:i/>
          <w:lang w:val="en-GB"/>
        </w:rPr>
        <w:t>C</w:t>
      </w:r>
      <w:r w:rsidRPr="00B3498D">
        <w:rPr>
          <w:i/>
          <w:vertAlign w:val="subscript"/>
          <w:lang w:val="en-GB"/>
        </w:rPr>
        <w:t>j</w:t>
      </w:r>
      <w:proofErr w:type="spellEnd"/>
      <w:r w:rsidRPr="00B3498D">
        <w:rPr>
          <w:lang w:val="en-GB"/>
        </w:rPr>
        <w:t xml:space="preserve"> is the cash outflow (including capital outlays on lime) in the </w:t>
      </w:r>
      <w:proofErr w:type="spellStart"/>
      <w:r w:rsidRPr="00B3498D">
        <w:rPr>
          <w:i/>
          <w:lang w:val="en-GB"/>
        </w:rPr>
        <w:t>j</w:t>
      </w:r>
      <w:r w:rsidRPr="00B3498D">
        <w:rPr>
          <w:vertAlign w:val="superscript"/>
          <w:lang w:val="en-GB"/>
        </w:rPr>
        <w:t>th</w:t>
      </w:r>
      <w:proofErr w:type="spellEnd"/>
      <w:r w:rsidRPr="00B3498D">
        <w:rPr>
          <w:lang w:val="en-GB"/>
        </w:rPr>
        <w:t xml:space="preserve"> project year.</w:t>
      </w:r>
    </w:p>
    <w:p w14:paraId="27294804" w14:textId="77777777" w:rsidR="006356A9" w:rsidRPr="00FD5F9F" w:rsidRDefault="006356A9" w:rsidP="00FD5F9F"/>
    <w:p w14:paraId="68CAAD4B" w14:textId="77777777" w:rsidR="00FD5F9F" w:rsidRPr="00681D36" w:rsidRDefault="00FD5F9F" w:rsidP="00FD5F9F">
      <w:pPr>
        <w:pStyle w:val="Heading1"/>
      </w:pPr>
      <w:r w:rsidRPr="00681D36">
        <w:t>Results</w:t>
      </w:r>
    </w:p>
    <w:p w14:paraId="4266F4CE" w14:textId="59B6B70D" w:rsidR="00FD5F9F" w:rsidRDefault="00C921C5" w:rsidP="00FD5F9F">
      <w:r>
        <w:t>Please insert Table labels above any presented table, and insert Figure labels below any images or figures presented</w:t>
      </w:r>
      <w:r w:rsidR="00933E98">
        <w:t xml:space="preserve"> (</w:t>
      </w:r>
      <w:r w:rsidR="00C0290B">
        <w:t xml:space="preserve">some </w:t>
      </w:r>
      <w:r w:rsidR="00933E98">
        <w:t xml:space="preserve">examples </w:t>
      </w:r>
      <w:r w:rsidR="00C0290B">
        <w:t xml:space="preserve">are </w:t>
      </w:r>
      <w:r w:rsidR="00933E98">
        <w:t>shown below)</w:t>
      </w:r>
      <w:r>
        <w:t>. All Tables and Figures should be cross-referenced into the text.</w:t>
      </w:r>
    </w:p>
    <w:p w14:paraId="04D05DA5" w14:textId="77777777" w:rsidR="008261B8" w:rsidRDefault="008261B8" w:rsidP="008261B8">
      <w:r>
        <w:t>Additional guidelines for charts:</w:t>
      </w:r>
    </w:p>
    <w:p w14:paraId="48A54388" w14:textId="77777777" w:rsidR="008261B8" w:rsidRDefault="008261B8" w:rsidP="008261B8">
      <w:pPr>
        <w:numPr>
          <w:ilvl w:val="0"/>
          <w:numId w:val="11"/>
        </w:numPr>
        <w:spacing w:after="0" w:line="276" w:lineRule="auto"/>
        <w:jc w:val="left"/>
      </w:pPr>
      <w:r w:rsidRPr="002F2383">
        <w:t>If you present graphs with multiple lines, make sure the information is legible whether it is printed in grey scale or colour.</w:t>
      </w:r>
      <w:r>
        <w:t xml:space="preserve"> </w:t>
      </w:r>
    </w:p>
    <w:p w14:paraId="071C81EA" w14:textId="77777777" w:rsidR="008261B8" w:rsidRDefault="008261B8" w:rsidP="008261B8">
      <w:pPr>
        <w:numPr>
          <w:ilvl w:val="0"/>
          <w:numId w:val="11"/>
        </w:numPr>
        <w:spacing w:after="0" w:line="276" w:lineRule="auto"/>
        <w:jc w:val="left"/>
      </w:pPr>
      <w:r>
        <w:t xml:space="preserve">Do not include figure titles within charts. </w:t>
      </w:r>
    </w:p>
    <w:p w14:paraId="6BB0A8C0" w14:textId="77777777" w:rsidR="008261B8" w:rsidRDefault="008261B8" w:rsidP="008261B8">
      <w:pPr>
        <w:numPr>
          <w:ilvl w:val="0"/>
          <w:numId w:val="11"/>
        </w:numPr>
        <w:spacing w:after="0" w:line="276" w:lineRule="auto"/>
        <w:jc w:val="left"/>
      </w:pPr>
      <w:r>
        <w:t>Always include labels for the x and y axis with units of measurement if appropriate, and make sure they are easily readable and not obscured by data lines or bars.</w:t>
      </w:r>
    </w:p>
    <w:p w14:paraId="5199654F" w14:textId="77777777" w:rsidR="008261B8" w:rsidRDefault="008261B8" w:rsidP="00FD5F9F"/>
    <w:p w14:paraId="45EBB3DD" w14:textId="54A66D2C" w:rsidR="00C0290B" w:rsidRPr="00C0290B" w:rsidRDefault="00C0290B" w:rsidP="00C0290B">
      <w:pPr>
        <w:rPr>
          <w:lang w:bidi="en-US"/>
        </w:rPr>
      </w:pPr>
      <w:r w:rsidRPr="00C0290B">
        <w:rPr>
          <w:noProof/>
          <w:lang w:bidi="en-US"/>
        </w:rPr>
        <w:drawing>
          <wp:inline distT="0" distB="0" distL="0" distR="0" wp14:anchorId="0486E429" wp14:editId="28EAD97E">
            <wp:extent cx="49530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FD3F" w14:textId="5F9D0E18" w:rsidR="00C0290B" w:rsidRPr="00C0290B" w:rsidRDefault="00C0290B" w:rsidP="00C0290B">
      <w:pPr>
        <w:rPr>
          <w:bCs/>
          <w:i/>
          <w:lang w:bidi="en-US"/>
        </w:rPr>
      </w:pPr>
      <w:bookmarkStart w:id="0" w:name="_Ref351324324"/>
      <w:bookmarkStart w:id="1" w:name="_Toc475971928"/>
      <w:r w:rsidRPr="00C0290B">
        <w:rPr>
          <w:b/>
          <w:bCs/>
          <w:lang w:bidi="en-US"/>
        </w:rPr>
        <w:t xml:space="preserve">Figure </w:t>
      </w:r>
      <w:r w:rsidRPr="00C0290B">
        <w:rPr>
          <w:b/>
          <w:bCs/>
          <w:lang w:bidi="en-US"/>
        </w:rPr>
        <w:fldChar w:fldCharType="begin"/>
      </w:r>
      <w:r w:rsidRPr="00C0290B">
        <w:rPr>
          <w:b/>
          <w:bCs/>
          <w:lang w:bidi="en-US"/>
        </w:rPr>
        <w:instrText xml:space="preserve"> SEQ Figure \* ARABIC </w:instrText>
      </w:r>
      <w:r w:rsidRPr="00C0290B">
        <w:rPr>
          <w:b/>
          <w:bCs/>
          <w:lang w:bidi="en-US"/>
        </w:rPr>
        <w:fldChar w:fldCharType="separate"/>
      </w:r>
      <w:r w:rsidRPr="00C0290B">
        <w:rPr>
          <w:b/>
          <w:bCs/>
          <w:lang w:bidi="en-US"/>
        </w:rPr>
        <w:t>1</w:t>
      </w:r>
      <w:r w:rsidRPr="00C0290B">
        <w:fldChar w:fldCharType="end"/>
      </w:r>
      <w:bookmarkEnd w:id="0"/>
      <w:r w:rsidRPr="00C0290B">
        <w:rPr>
          <w:b/>
          <w:bCs/>
          <w:lang w:bidi="en-US"/>
        </w:rPr>
        <w:t xml:space="preserve">: Sequential decision making. Adapted from </w:t>
      </w:r>
      <w:r w:rsidR="00BE3738">
        <w:rPr>
          <w:b/>
          <w:bCs/>
          <w:lang w:bidi="en-US"/>
        </w:rPr>
        <w:fldChar w:fldCharType="begin"/>
      </w:r>
      <w:r w:rsidR="00BE3738">
        <w:rPr>
          <w:b/>
          <w:bCs/>
          <w:lang w:bidi="en-US"/>
        </w:rPr>
        <w:instrText xml:space="preserve"> ADDIN EN.CITE &lt;EndNote&gt;&lt;Cite AuthorYear="1"&gt;&lt;Author&gt;Trebeck&lt;/Author&gt;&lt;Year&gt;1972&lt;/Year&gt;&lt;RecNum&gt;45&lt;/RecNum&gt;&lt;DisplayText&gt;Trebeck and Hardaker (1972)&lt;/DisplayText&gt;&lt;record&gt;&lt;rec-number&gt;45&lt;/rec-number&gt;&lt;foreign-keys&gt;&lt;key app="EN" db-id="atxwedpayarrrpewdawvw096prxrpppvszwp" timestamp="0"&gt;45&lt;/key&gt;&lt;/foreign-keys&gt;&lt;ref-type name="Journal Article"&gt;17&lt;/ref-type&gt;&lt;contributors&gt;&lt;authors&gt;&lt;author&gt;Trebeck, D. B.&lt;/author&gt;&lt;author&gt;Hardaker, J. B.&lt;/author&gt;&lt;/authors&gt;&lt;/contributors&gt;&lt;titles&gt;&lt;title&gt;The integrated use of simulation and stochastic programming for whole farm planning under risk&lt;/title&gt;&lt;secondary-title&gt;Australian Journal of Agricultural Economics&lt;/secondary-title&gt;&lt;/titles&gt;&lt;periodical&gt;&lt;full-title&gt;Australian Journal of Agricultural Economics&lt;/full-title&gt;&lt;/periodical&gt;&lt;pages&gt;115-126&lt;/pages&gt;&lt;volume&gt;16&lt;/volume&gt;&lt;number&gt;2&lt;/number&gt;&lt;dates&gt;&lt;year&gt;1972&lt;/year&gt;&lt;/dates&gt;&lt;urls&gt;&lt;/urls&gt;&lt;/record&gt;&lt;/Cite&gt;&lt;/EndNote&gt;</w:instrText>
      </w:r>
      <w:r w:rsidR="00BE3738">
        <w:rPr>
          <w:b/>
          <w:bCs/>
          <w:lang w:bidi="en-US"/>
        </w:rPr>
        <w:fldChar w:fldCharType="separate"/>
      </w:r>
      <w:r w:rsidR="00BE3738">
        <w:rPr>
          <w:b/>
          <w:bCs/>
          <w:noProof/>
          <w:lang w:bidi="en-US"/>
        </w:rPr>
        <w:t>Trebeck and Hardaker (1972)</w:t>
      </w:r>
      <w:r w:rsidR="00BE3738">
        <w:rPr>
          <w:b/>
          <w:bCs/>
          <w:lang w:bidi="en-US"/>
        </w:rPr>
        <w:fldChar w:fldCharType="end"/>
      </w:r>
      <w:r w:rsidRPr="00C0290B">
        <w:rPr>
          <w:b/>
          <w:bCs/>
          <w:lang w:bidi="en-US"/>
        </w:rPr>
        <w:t>.</w:t>
      </w:r>
      <w:bookmarkEnd w:id="1"/>
    </w:p>
    <w:p w14:paraId="1E73DBDB" w14:textId="07997B40" w:rsidR="003C28DC" w:rsidRPr="003C28DC" w:rsidRDefault="003C28DC" w:rsidP="003C28DC">
      <w:pPr>
        <w:rPr>
          <w:noProof/>
          <w:lang w:val="en-GB"/>
        </w:rPr>
      </w:pPr>
      <w:bookmarkStart w:id="2" w:name="_Ref351324534"/>
      <w:bookmarkStart w:id="3" w:name="_Toc475971934"/>
    </w:p>
    <w:p w14:paraId="261A03D8" w14:textId="77777777" w:rsidR="006228BA" w:rsidRPr="003555F0" w:rsidRDefault="006228BA" w:rsidP="006228BA">
      <w:pPr>
        <w:spacing w:after="0" w:line="480" w:lineRule="auto"/>
        <w:contextualSpacing/>
        <w:rPr>
          <w:rFonts w:ascii="Times New Roman" w:hAnsi="Times New Roman"/>
          <w:szCs w:val="24"/>
          <w:lang w:val="en-US"/>
        </w:rPr>
      </w:pPr>
      <w:r w:rsidRPr="003555F0">
        <w:rPr>
          <w:noProof/>
          <w:lang w:eastAsia="en-GB"/>
        </w:rPr>
        <w:drawing>
          <wp:inline distT="0" distB="0" distL="0" distR="0" wp14:anchorId="087FC928" wp14:editId="71B69ECD">
            <wp:extent cx="5715000" cy="33909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1234C8" w14:textId="136617E7" w:rsidR="006228BA" w:rsidRPr="006228BA" w:rsidRDefault="006228BA" w:rsidP="006228BA">
      <w:pPr>
        <w:rPr>
          <w:b/>
          <w:bCs/>
          <w:lang w:bidi="en-US"/>
        </w:rPr>
      </w:pPr>
      <w:r w:rsidRPr="006228BA">
        <w:rPr>
          <w:b/>
          <w:lang w:val="en-US"/>
        </w:rPr>
        <w:t>Figure 1 – Wheat production cost in the UK for conventional equipment and autonomous equipment with different levels of human supervision time.</w:t>
      </w:r>
      <w:r>
        <w:rPr>
          <w:b/>
          <w:bCs/>
          <w:lang w:bidi="en-US"/>
        </w:rPr>
        <w:t xml:space="preserve"> Source: </w:t>
      </w:r>
      <w:r>
        <w:rPr>
          <w:b/>
          <w:bCs/>
          <w:lang w:bidi="en-US"/>
        </w:rPr>
        <w:fldChar w:fldCharType="begin"/>
      </w:r>
      <w:r w:rsidR="00F30D99">
        <w:rPr>
          <w:b/>
          <w:bCs/>
          <w:lang w:bidi="en-US"/>
        </w:rPr>
        <w:instrText xml:space="preserve"> ADDIN EN.CITE &lt;EndNote&gt;&lt;Cite AuthorYear="1"&gt;&lt;Author&gt;Lowenberg-DeBoer&lt;/Author&gt;&lt;Year&gt;2021&lt;/Year&gt;&lt;RecNum&gt;1693&lt;/RecNum&gt;&lt;DisplayText&gt;Lowenberg-DeBoer et al. (2021)&lt;/DisplayText&gt;&lt;record&gt;&lt;rec-number&gt;1693&lt;/rec-number&gt;&lt;foreign-keys&gt;&lt;key app="EN" db-id="atxwedpayarrrpewdawvw096prxrpppvszwp" timestamp="1626227813"&gt;1693&lt;/key&gt;&lt;/foreign-keys&gt;&lt;ref-type name="Journal Article"&gt;17&lt;/ref-type&gt;&lt;contributors&gt;&lt;authors&gt;&lt;author&gt;Lowenberg-DeBoer, James&lt;/author&gt;&lt;author&gt;Behrendt, Karl&lt;/author&gt;&lt;author&gt;Ehlers, Melf-Hinrich&lt;/author&gt;&lt;author&gt;Dillon, Carl&lt;/author&gt;&lt;author&gt;Gabriel, Andreas&lt;/author&gt;&lt;author&gt;Huang, Iona Yuelu&lt;/author&gt;&lt;author&gt;Kumwenda, Ian&lt;/author&gt;&lt;author&gt;Mark, Tyler&lt;/author&gt;&lt;author&gt;Meyer-Aurich, Andreas&lt;/author&gt;&lt;author&gt;Milics, Gabor&lt;/author&gt;&lt;author&gt;Olagunju, Kehinde Oluseyi&lt;/author&gt;&lt;author&gt;Pedersen, Søren Marcus&lt;/author&gt;&lt;author&gt;Shockley, Jordan&lt;/author&gt;&lt;author&gt;Rose, David&lt;/author&gt;&lt;/authors&gt;&lt;/contributors&gt;&lt;titles&gt;&lt;title&gt;Lessons to be learned in adoption of autonomous equipment for field crops&lt;/title&gt;&lt;secondary-title&gt;Applied Economic Perspectives and Policy&lt;/secondary-title&gt;&lt;/titles&gt;&lt;periodical&gt;&lt;full-title&gt;Applied Economic Perspectives and Policy&lt;/full-title&gt;&lt;/periodical&gt;&lt;pages&gt;1-17&lt;/pages&gt;&lt;volume&gt;n/a&lt;/volume&gt;&lt;number&gt;n/a&lt;/number&gt;&lt;dates&gt;&lt;year&gt;2021&lt;/year&gt;&lt;/dates&gt;&lt;isbn&gt;2040-5790&lt;/isbn&gt;&lt;urls&gt;&lt;related-urls&gt;&lt;url&gt;https://onlinelibrary.wiley.com/doi/abs/10.1002/aepp.13177&lt;/url&gt;&lt;/related-urls&gt;&lt;/urls&gt;&lt;electronic-resource-num&gt;https://doi.org/10.1002/aepp.13177&lt;/electronic-resource-num&gt;&lt;/record&gt;&lt;/Cite&gt;&lt;/EndNote&gt;</w:instrText>
      </w:r>
      <w:r>
        <w:rPr>
          <w:b/>
          <w:bCs/>
          <w:lang w:bidi="en-US"/>
        </w:rPr>
        <w:fldChar w:fldCharType="separate"/>
      </w:r>
      <w:r w:rsidR="00F30D99">
        <w:rPr>
          <w:b/>
          <w:bCs/>
          <w:noProof/>
          <w:lang w:bidi="en-US"/>
        </w:rPr>
        <w:t>Lowenberg-DeBoer et al. (2021)</w:t>
      </w:r>
      <w:r>
        <w:rPr>
          <w:b/>
          <w:bCs/>
          <w:lang w:bidi="en-US"/>
        </w:rPr>
        <w:fldChar w:fldCharType="end"/>
      </w:r>
      <w:r>
        <w:rPr>
          <w:b/>
          <w:bCs/>
          <w:lang w:bidi="en-US"/>
        </w:rPr>
        <w:t>.</w:t>
      </w:r>
    </w:p>
    <w:bookmarkEnd w:id="2"/>
    <w:bookmarkEnd w:id="3"/>
    <w:p w14:paraId="2DABE810" w14:textId="77777777" w:rsidR="005336F3" w:rsidRDefault="005336F3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63E59E79" w14:textId="4ED63DEC" w:rsidR="008E3AB0" w:rsidRPr="00BC6CDD" w:rsidRDefault="008E3AB0" w:rsidP="008E3AB0">
      <w:pPr>
        <w:rPr>
          <w:b/>
        </w:rPr>
      </w:pPr>
      <w:r w:rsidRPr="00BC6CDD">
        <w:rPr>
          <w:b/>
          <w:bCs/>
        </w:rPr>
        <w:t>Table 1</w:t>
      </w:r>
      <w:r>
        <w:rPr>
          <w:b/>
          <w:bCs/>
        </w:rPr>
        <w:t>:</w:t>
      </w:r>
      <w:r w:rsidRPr="00BC6CDD">
        <w:rPr>
          <w:b/>
        </w:rPr>
        <w:t xml:space="preserve"> Equipment times of the machinery sets for rectangular fields of 1 ha and 10 ha</w:t>
      </w:r>
      <w:r w:rsidR="005336F3">
        <w:rPr>
          <w:b/>
        </w:rPr>
        <w:t xml:space="preserve">. Source: </w:t>
      </w:r>
      <w:r w:rsidR="005336F3">
        <w:rPr>
          <w:b/>
        </w:rPr>
        <w:fldChar w:fldCharType="begin"/>
      </w:r>
      <w:r w:rsidR="00437308">
        <w:rPr>
          <w:b/>
        </w:rPr>
        <w:instrText xml:space="preserve"> ADDIN EN.CITE &lt;EndNote&gt;&lt;Cite&gt;&lt;Author&gt;A. K. M. Abdullah&lt;/Author&gt;&lt;Year&gt;2021&lt;/Year&gt;&lt;RecNum&gt;1697&lt;/RecNum&gt;&lt;DisplayText&gt;(A. K. M. Abdullah et al., 2021)&lt;/DisplayText&gt;&lt;record&gt;&lt;rec-number&gt;1697&lt;/rec-number&gt;&lt;foreign-keys&gt;&lt;key app="EN" db-id="atxwedpayarrrpewdawvw096prxrpppvszwp" timestamp="1630730182"&gt;1697&lt;/key&gt;&lt;/foreign-keys&gt;&lt;ref-type name="Conference Proceedings"&gt;10&lt;/ref-type&gt;&lt;contributors&gt;&lt;authors&gt;&lt;author&gt;A. K. M. Abdullah, Al-Amin &lt;/author&gt;&lt;author&gt;Lowenberg-DeBoer, James&lt;/author&gt;&lt;author&gt;Franklin, Kit&lt;/author&gt;&lt;author&gt;Behrendt, K &lt;/author&gt;&lt;/authors&gt;&lt;secondary-authors&gt;&lt;author&gt;Behrendt, K&lt;/author&gt;&lt;author&gt;Paparas, Dimitrios&lt;/author&gt;&lt;/secondary-authors&gt;&lt;/contributors&gt;&lt;titles&gt;&lt;title&gt;Economic Implications of Field Size for Autonomous Arable Crop Equipment &lt;/title&gt;&lt;secondary-title&gt;4th Symposium on Agri-Tech Economics for Sustainable Futures&lt;/secondary-title&gt;&lt;/titles&gt;&lt;pages&gt;18-37&lt;/pages&gt;&lt;volume&gt;4&lt;/volume&gt;&lt;keywords&gt;&lt;keyword&gt;Autonomous swarm robotics&lt;/keyword&gt;&lt;keyword&gt;Field sizes&lt;/keyword&gt;&lt;keyword&gt;Equipment selection&lt;/keyword&gt;&lt;keyword&gt;Economic viability&lt;/keyword&gt;&lt;keyword&gt;Mathematical programming&lt;/keyword&gt;&lt;keyword&gt;Commodity crop production.&lt;/keyword&gt;&lt;/keywords&gt;&lt;dates&gt;&lt;year&gt;2021&lt;/year&gt;&lt;pub-dates&gt;&lt;date&gt;20-21 September 2021&lt;/date&gt;&lt;/pub-dates&gt;&lt;/dates&gt;&lt;pub-location&gt;Newport, UK&lt;/pub-location&gt;&lt;publisher&gt;Global Institute for Agri-Tech Economics, Harper Adams University&lt;/publisher&gt;&lt;urls&gt;&lt;/urls&gt;&lt;custom3&gt;4th Symposium on Agri-Tech Economics for Sustainable Futures&lt;/custom3&gt;&lt;/record&gt;&lt;/Cite&gt;&lt;/EndNote&gt;</w:instrText>
      </w:r>
      <w:r w:rsidR="005336F3">
        <w:rPr>
          <w:b/>
        </w:rPr>
        <w:fldChar w:fldCharType="separate"/>
      </w:r>
      <w:r w:rsidR="00F30D99">
        <w:rPr>
          <w:b/>
          <w:noProof/>
        </w:rPr>
        <w:t>(A. K. M. Abdullah et al., 2021)</w:t>
      </w:r>
      <w:r w:rsidR="005336F3">
        <w:rPr>
          <w:b/>
        </w:rPr>
        <w:fldChar w:fldCharType="end"/>
      </w:r>
      <w:r w:rsidR="005336F3">
        <w:rPr>
          <w:b/>
        </w:rPr>
        <w:t>.</w:t>
      </w:r>
    </w:p>
    <w:tbl>
      <w:tblPr>
        <w:tblW w:w="87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692"/>
        <w:gridCol w:w="1350"/>
        <w:gridCol w:w="1216"/>
        <w:gridCol w:w="1559"/>
        <w:gridCol w:w="873"/>
        <w:gridCol w:w="767"/>
      </w:tblGrid>
      <w:tr w:rsidR="008E3AB0" w:rsidRPr="00F1673A" w14:paraId="2C6D0F97" w14:textId="77777777" w:rsidTr="005336F3">
        <w:trPr>
          <w:trHeight w:val="288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6CF5" w14:textId="77777777" w:rsidR="008E3AB0" w:rsidRPr="00F1673A" w:rsidRDefault="008E3AB0" w:rsidP="005606D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ED8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Width of the implement (m)**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93D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Overlap percentage**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12A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Field speed (km/</w:t>
            </w:r>
            <w:proofErr w:type="gramStart"/>
            <w:r w:rsidRPr="00F1673A">
              <w:rPr>
                <w:rFonts w:cstheme="minorHAnsi"/>
                <w:b/>
                <w:sz w:val="20"/>
                <w:szCs w:val="20"/>
              </w:rPr>
              <w:t>hr)*</w:t>
            </w:r>
            <w:proofErr w:type="gramEnd"/>
            <w:r w:rsidRPr="00F1673A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E1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Field Efficiency (%) ***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902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Area/hr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38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73A">
              <w:rPr>
                <w:rFonts w:cstheme="minorHAnsi"/>
                <w:b/>
                <w:sz w:val="20"/>
                <w:szCs w:val="20"/>
              </w:rPr>
              <w:t>hr/ha</w:t>
            </w:r>
          </w:p>
        </w:tc>
      </w:tr>
      <w:tr w:rsidR="008E3AB0" w:rsidRPr="00F1673A" w14:paraId="50A9E50B" w14:textId="77777777" w:rsidTr="005336F3">
        <w:trPr>
          <w:trHeight w:val="288"/>
        </w:trPr>
        <w:tc>
          <w:tcPr>
            <w:tcW w:w="870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E5C0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 ha Rectangular Field</w:t>
            </w:r>
          </w:p>
        </w:tc>
      </w:tr>
      <w:tr w:rsidR="008E3AB0" w:rsidRPr="00F1673A" w14:paraId="36E8BA96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BF39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HFH equipment set (38</w:t>
            </w:r>
            <w:proofErr w:type="gramStart"/>
            <w:r w:rsidRPr="00F1673A">
              <w:rPr>
                <w:rFonts w:cstheme="minorHAnsi"/>
                <w:sz w:val="20"/>
                <w:szCs w:val="20"/>
              </w:rPr>
              <w:t>hp)*</w:t>
            </w:r>
            <w:proofErr w:type="gramEnd"/>
            <w:r w:rsidRPr="00F1673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E3AB0" w:rsidRPr="00F1673A" w14:paraId="29F98257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CDE8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6B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E4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012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AC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73%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6A4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C41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3.12</w:t>
            </w:r>
          </w:p>
        </w:tc>
      </w:tr>
      <w:tr w:rsidR="008E3AB0" w:rsidRPr="00F1673A" w14:paraId="62B058D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05F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B89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5D9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F5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E44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46%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21D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980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0.69</w:t>
            </w:r>
          </w:p>
        </w:tc>
      </w:tr>
      <w:tr w:rsidR="008E3AB0" w:rsidRPr="00F1673A" w14:paraId="1E1B8E26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8267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648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C1A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BE8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E8C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187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0.47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893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8E3AB0" w:rsidRPr="00F1673A" w14:paraId="199BA690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DC1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Larger conventional set (296hp):</w:t>
            </w:r>
          </w:p>
        </w:tc>
      </w:tr>
      <w:tr w:rsidR="008E3AB0" w:rsidRPr="00F1673A" w14:paraId="70D113F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A6C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BAB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2FA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2DA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2F8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24%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B33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6A3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1.54</w:t>
            </w:r>
          </w:p>
        </w:tc>
      </w:tr>
      <w:tr w:rsidR="008E3AB0" w:rsidRPr="00F1673A" w14:paraId="77C78AB1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4C29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968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F73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ACC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55A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23%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FD4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7.45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42B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0.13</w:t>
            </w:r>
          </w:p>
        </w:tc>
      </w:tr>
      <w:tr w:rsidR="008E3AB0" w:rsidRPr="00F1673A" w14:paraId="1A46EF2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9506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D03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6B7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34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B4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942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679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1.54</w:t>
            </w:r>
          </w:p>
        </w:tc>
      </w:tr>
      <w:tr w:rsidR="008E3AB0" w:rsidRPr="00F1673A" w14:paraId="6F896DDA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DF0B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Small conventional set (150hp):</w:t>
            </w:r>
          </w:p>
        </w:tc>
      </w:tr>
      <w:tr w:rsidR="008E3AB0" w:rsidRPr="00F1673A" w14:paraId="50DEC5ED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1A1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73AA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00B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7DD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AFBA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46%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32A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564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1.61</w:t>
            </w:r>
          </w:p>
        </w:tc>
      </w:tr>
      <w:tr w:rsidR="008E3AB0" w:rsidRPr="00F1673A" w14:paraId="72CEB2CA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FBE7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887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E66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995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7B7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A00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6.91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386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0.14</w:t>
            </w:r>
          </w:p>
        </w:tc>
      </w:tr>
      <w:tr w:rsidR="008E3AB0" w:rsidRPr="00F1673A" w14:paraId="1AD22573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EB63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267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1DB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D80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BF7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D99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0.55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AFB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1.83</w:t>
            </w:r>
          </w:p>
        </w:tc>
      </w:tr>
      <w:tr w:rsidR="008E3AB0" w:rsidRPr="00F1673A" w14:paraId="37ABF92C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6D12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10 ha Rectangular Field</w:t>
            </w:r>
          </w:p>
        </w:tc>
      </w:tr>
      <w:tr w:rsidR="008E3AB0" w:rsidRPr="00F1673A" w14:paraId="45AD778B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D836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HFH equipment set (38hp):</w:t>
            </w:r>
          </w:p>
        </w:tc>
      </w:tr>
      <w:tr w:rsidR="008E3AB0" w:rsidRPr="00F1673A" w14:paraId="69347F26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E6D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3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90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A39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4B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84%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8D3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0.37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28B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2.71</w:t>
            </w:r>
          </w:p>
        </w:tc>
      </w:tr>
      <w:tr w:rsidR="008E3AB0" w:rsidRPr="00F1673A" w14:paraId="0E9D28E0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C041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433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B1B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2C7A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FA1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70%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3AC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8AA8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0.45</w:t>
            </w:r>
          </w:p>
        </w:tc>
      </w:tr>
      <w:tr w:rsidR="008E3AB0" w:rsidRPr="00F1673A" w14:paraId="6FE4A0AB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C4AF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46F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3FF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65C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3.25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8F7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92%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360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58B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1.86</w:t>
            </w:r>
          </w:p>
        </w:tc>
      </w:tr>
      <w:tr w:rsidR="008E3AB0" w:rsidRPr="00F1673A" w14:paraId="364CBB74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B190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Larger conventional set (296hp):</w:t>
            </w:r>
          </w:p>
        </w:tc>
      </w:tr>
      <w:tr w:rsidR="008E3AB0" w:rsidRPr="00F1673A" w14:paraId="0084475A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1853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F10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9C2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280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E7D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DF8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E30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0.45</w:t>
            </w:r>
          </w:p>
        </w:tc>
      </w:tr>
      <w:tr w:rsidR="008E3AB0" w:rsidRPr="00F1673A" w14:paraId="65E3AF4A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E7F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B9C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65F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FBA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6652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49%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23E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15.88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B6D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8E3AB0" w:rsidRPr="00F1673A" w14:paraId="43FDB868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A6C9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655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231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B4D9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D43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82%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B3E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1.66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2C55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0.60</w:t>
            </w:r>
          </w:p>
        </w:tc>
      </w:tr>
      <w:tr w:rsidR="008E3AB0" w:rsidRPr="00F1673A" w14:paraId="28E66617" w14:textId="77777777" w:rsidTr="005606D4">
        <w:trPr>
          <w:trHeight w:val="288"/>
        </w:trPr>
        <w:tc>
          <w:tcPr>
            <w:tcW w:w="8705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4D9D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Small conventional set (150hp):</w:t>
            </w:r>
          </w:p>
        </w:tc>
      </w:tr>
      <w:tr w:rsidR="008E3AB0" w:rsidRPr="00F1673A" w14:paraId="7AE400CD" w14:textId="77777777" w:rsidTr="005606D4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431E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Drill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9A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E1C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9021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F1D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83%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E1B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78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0.89</w:t>
            </w:r>
          </w:p>
        </w:tc>
      </w:tr>
      <w:tr w:rsidR="008E3AB0" w:rsidRPr="00F1673A" w14:paraId="44A1164B" w14:textId="77777777" w:rsidTr="005336F3">
        <w:trPr>
          <w:trHeight w:val="288"/>
        </w:trPr>
        <w:tc>
          <w:tcPr>
            <w:tcW w:w="12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018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Sprayer</w:t>
            </w:r>
          </w:p>
        </w:tc>
        <w:tc>
          <w:tcPr>
            <w:tcW w:w="16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29D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F89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D6D6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98D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87A4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9.72</w:t>
            </w:r>
          </w:p>
        </w:tc>
        <w:tc>
          <w:tcPr>
            <w:tcW w:w="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763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0.10</w:t>
            </w:r>
          </w:p>
        </w:tc>
      </w:tr>
      <w:tr w:rsidR="008E3AB0" w:rsidRPr="00F1673A" w14:paraId="1F8DC21E" w14:textId="77777777" w:rsidTr="005336F3">
        <w:trPr>
          <w:trHeight w:val="288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190E" w14:textId="77777777" w:rsidR="008E3AB0" w:rsidRPr="00F1673A" w:rsidRDefault="008E3AB0" w:rsidP="005606D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Combine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17CF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456E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FA7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601C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CC9D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96F3" w14:textId="77777777" w:rsidR="008E3AB0" w:rsidRPr="00F1673A" w:rsidRDefault="008E3AB0" w:rsidP="005606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73A">
              <w:rPr>
                <w:rFonts w:cstheme="minorHAnsi"/>
                <w:sz w:val="20"/>
                <w:szCs w:val="20"/>
              </w:rPr>
              <w:t>0.96</w:t>
            </w:r>
          </w:p>
        </w:tc>
      </w:tr>
    </w:tbl>
    <w:p w14:paraId="1C5CCA93" w14:textId="77777777" w:rsidR="008E3AB0" w:rsidRDefault="008E3AB0" w:rsidP="008E3AB0">
      <w:pPr>
        <w:rPr>
          <w:sz w:val="20"/>
        </w:rPr>
      </w:pPr>
      <w:r w:rsidRPr="00F1673A">
        <w:rPr>
          <w:b/>
          <w:bCs/>
          <w:sz w:val="20"/>
        </w:rPr>
        <w:t>Note:</w:t>
      </w:r>
      <w:r w:rsidRPr="00F1673A">
        <w:rPr>
          <w:sz w:val="20"/>
        </w:rPr>
        <w:t xml:space="preserve"> * HFH equipment sets representing both 38hp conventional machine with human operator and 38hp autonomous swarm robotics. **The machine specifications and overlap assumptions were collected from the HFH experience and Lowenberg-DeBoer et al. (2021). *** The authors developed algorithms to estimate the field efficiency of rectangular fields (for details of the estimation procedures and algorithms see the technical note in the supplementary material).</w:t>
      </w:r>
    </w:p>
    <w:p w14:paraId="3C5A4FBB" w14:textId="77777777" w:rsidR="00C0290B" w:rsidRPr="00C0290B" w:rsidRDefault="00C0290B" w:rsidP="00C0290B">
      <w:pPr>
        <w:rPr>
          <w:b/>
        </w:rPr>
      </w:pPr>
    </w:p>
    <w:p w14:paraId="02CA6585" w14:textId="77777777" w:rsidR="00FD5F9F" w:rsidRPr="00681D36" w:rsidRDefault="00FD5F9F" w:rsidP="00FD5F9F">
      <w:pPr>
        <w:pStyle w:val="Heading1"/>
      </w:pPr>
      <w:r w:rsidRPr="00681D36">
        <w:t>Discussion</w:t>
      </w:r>
    </w:p>
    <w:p w14:paraId="29A55B43" w14:textId="77E44159" w:rsidR="00FD5F9F" w:rsidRDefault="00437308" w:rsidP="00FD5F9F">
      <w:r>
        <w:t xml:space="preserve">The </w:t>
      </w:r>
      <w:r w:rsidR="00317DD9">
        <w:t xml:space="preserve">Authors may choose to </w:t>
      </w:r>
      <w:r w:rsidR="00941102">
        <w:t>integrate</w:t>
      </w:r>
      <w:r w:rsidR="00317DD9">
        <w:t xml:space="preserve"> the discussion</w:t>
      </w:r>
      <w:r w:rsidR="00941102">
        <w:t xml:space="preserve"> with the presentation of the Results.</w:t>
      </w:r>
    </w:p>
    <w:p w14:paraId="2F47BC78" w14:textId="77777777" w:rsidR="00437308" w:rsidRDefault="00941102" w:rsidP="00FD5F9F">
      <w:pPr>
        <w:rPr>
          <w:rStyle w:val="Heading1Char"/>
          <w:rFonts w:eastAsia="Calibri"/>
        </w:rPr>
      </w:pPr>
      <w:r w:rsidRPr="00941102">
        <w:rPr>
          <w:rStyle w:val="Heading1Char"/>
          <w:rFonts w:eastAsia="Calibri"/>
        </w:rPr>
        <w:t xml:space="preserve">Conclusion </w:t>
      </w:r>
    </w:p>
    <w:p w14:paraId="3DE773D5" w14:textId="070DE4DF" w:rsidR="00941102" w:rsidRDefault="00437308" w:rsidP="00FD5F9F">
      <w:r>
        <w:t xml:space="preserve">This section is </w:t>
      </w:r>
      <w:r w:rsidR="00941102">
        <w:t>optional</w:t>
      </w:r>
      <w:r>
        <w:t>. You may also include a section for Acknowledgements if appropriate.</w:t>
      </w:r>
    </w:p>
    <w:p w14:paraId="642EF4EF" w14:textId="77777777" w:rsidR="00941102" w:rsidRPr="00FD5F9F" w:rsidRDefault="00941102" w:rsidP="00FD5F9F"/>
    <w:p w14:paraId="47AAD8CE" w14:textId="77777777" w:rsidR="00FD5F9F" w:rsidRPr="00681D36" w:rsidRDefault="00FD5F9F" w:rsidP="00FD5F9F">
      <w:pPr>
        <w:pStyle w:val="Heading1"/>
      </w:pPr>
      <w:r w:rsidRPr="00681D36">
        <w:t>References</w:t>
      </w:r>
    </w:p>
    <w:p w14:paraId="2ADCE492" w14:textId="6EE017C3" w:rsidR="003C28DC" w:rsidRDefault="006228BA" w:rsidP="00FD5F9F">
      <w:pPr>
        <w:rPr>
          <w:b/>
        </w:rPr>
      </w:pPr>
      <w:r>
        <w:t>‘</w:t>
      </w:r>
      <w:r w:rsidR="00AD4113">
        <w:t>Harvard’</w:t>
      </w:r>
      <w:r w:rsidR="006F785F">
        <w:t xml:space="preserve"> Referencing</w:t>
      </w:r>
      <w:r w:rsidR="00AD4113">
        <w:t xml:space="preserve"> without numbering…</w:t>
      </w:r>
    </w:p>
    <w:p w14:paraId="50717359" w14:textId="77777777" w:rsidR="00437308" w:rsidRPr="00437308" w:rsidRDefault="003C28DC" w:rsidP="00437308">
      <w:pPr>
        <w:rPr>
          <w:noProof/>
        </w:rPr>
      </w:pPr>
      <w:r>
        <w:rPr>
          <w:b/>
        </w:rPr>
        <w:fldChar w:fldCharType="begin"/>
      </w:r>
      <w:r w:rsidRPr="00AD4113"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437308" w:rsidRPr="00437308">
        <w:rPr>
          <w:noProof/>
        </w:rPr>
        <w:t xml:space="preserve">A. K. M. ABDULLAH, A.-A., LOWENBERG-DEBOER, J., FRANKLIN, K. &amp; BEHRENDT, K. Economic Implications of Field Size for Autonomous Arable Crop Equipment </w:t>
      </w:r>
      <w:r w:rsidR="00437308" w:rsidRPr="00437308">
        <w:rPr>
          <w:i/>
          <w:noProof/>
        </w:rPr>
        <w:t xml:space="preserve">In: </w:t>
      </w:r>
      <w:r w:rsidR="00437308" w:rsidRPr="00437308">
        <w:rPr>
          <w:noProof/>
        </w:rPr>
        <w:t>BEHRENDT, K. &amp; PAPARAS, D., eds. 4th Symposium on Agri-Tech Economics for Sustainable Futures, 20-21 September 2021 2021 Newport, UK. Global Institute for Agri-Tech Economics, Harper Adams University, 18-37.</w:t>
      </w:r>
    </w:p>
    <w:p w14:paraId="79A06D00" w14:textId="77777777" w:rsidR="00437308" w:rsidRPr="00437308" w:rsidRDefault="00437308" w:rsidP="00437308">
      <w:pPr>
        <w:rPr>
          <w:noProof/>
        </w:rPr>
      </w:pPr>
      <w:r w:rsidRPr="00437308">
        <w:rPr>
          <w:noProof/>
        </w:rPr>
        <w:t xml:space="preserve">HOLLAND, J. E. &amp; BEHRENDT, K. 2021. The economics of liming in arable crop rotations: analysis of the 35-year Rothamsted and Woburn liming experiments. </w:t>
      </w:r>
      <w:r w:rsidRPr="00437308">
        <w:rPr>
          <w:i/>
          <w:noProof/>
        </w:rPr>
        <w:t>Soil Use and Management,</w:t>
      </w:r>
      <w:r w:rsidRPr="00437308">
        <w:rPr>
          <w:noProof/>
        </w:rPr>
        <w:t xml:space="preserve"> 37</w:t>
      </w:r>
      <w:r w:rsidRPr="00437308">
        <w:rPr>
          <w:b/>
          <w:noProof/>
        </w:rPr>
        <w:t>,</w:t>
      </w:r>
      <w:r w:rsidRPr="00437308">
        <w:rPr>
          <w:noProof/>
        </w:rPr>
        <w:t xml:space="preserve"> 342-352.</w:t>
      </w:r>
    </w:p>
    <w:p w14:paraId="41BCD26B" w14:textId="77777777" w:rsidR="00437308" w:rsidRPr="00437308" w:rsidRDefault="00437308" w:rsidP="00437308">
      <w:pPr>
        <w:rPr>
          <w:noProof/>
        </w:rPr>
      </w:pPr>
      <w:r w:rsidRPr="00437308">
        <w:rPr>
          <w:noProof/>
        </w:rPr>
        <w:t xml:space="preserve">LOWENBERG-DEBOER, J., BEHRENDT, K., EHLERS, M.-H., DILLON, C., GABRIEL, A., HUANG, I. Y., KUMWENDA, I., MARK, T., MEYER-AURICH, A., MILICS, G., OLAGUNJU, K. O., PEDERSEN, S. M., SHOCKLEY, J. &amp; ROSE, D. 2021. Lessons to be learned in adoption of autonomous equipment for field crops. </w:t>
      </w:r>
      <w:r w:rsidRPr="00437308">
        <w:rPr>
          <w:i/>
          <w:noProof/>
        </w:rPr>
        <w:t>Applied Economic Perspectives and Policy,</w:t>
      </w:r>
      <w:r w:rsidRPr="00437308">
        <w:rPr>
          <w:noProof/>
        </w:rPr>
        <w:t xml:space="preserve"> n/a</w:t>
      </w:r>
      <w:r w:rsidRPr="00437308">
        <w:rPr>
          <w:b/>
          <w:noProof/>
        </w:rPr>
        <w:t>,</w:t>
      </w:r>
      <w:r w:rsidRPr="00437308">
        <w:rPr>
          <w:noProof/>
        </w:rPr>
        <w:t xml:space="preserve"> 1-17.</w:t>
      </w:r>
    </w:p>
    <w:p w14:paraId="6BECBFF5" w14:textId="77777777" w:rsidR="00437308" w:rsidRPr="00437308" w:rsidRDefault="00437308" w:rsidP="00437308">
      <w:pPr>
        <w:rPr>
          <w:noProof/>
        </w:rPr>
      </w:pPr>
      <w:r w:rsidRPr="00437308">
        <w:rPr>
          <w:noProof/>
        </w:rPr>
        <w:t xml:space="preserve">TREBECK, D. B. &amp; HARDAKER, J. B. 1972. The integrated use of simulation and stochastic programming for whole farm planning under risk. </w:t>
      </w:r>
      <w:r w:rsidRPr="00437308">
        <w:rPr>
          <w:i/>
          <w:noProof/>
        </w:rPr>
        <w:t>Australian Journal of Agricultural Economics,</w:t>
      </w:r>
      <w:r w:rsidRPr="00437308">
        <w:rPr>
          <w:noProof/>
        </w:rPr>
        <w:t xml:space="preserve"> 16</w:t>
      </w:r>
      <w:r w:rsidRPr="00437308">
        <w:rPr>
          <w:b/>
          <w:noProof/>
        </w:rPr>
        <w:t>,</w:t>
      </w:r>
      <w:r w:rsidRPr="00437308">
        <w:rPr>
          <w:noProof/>
        </w:rPr>
        <w:t xml:space="preserve"> 115-126.</w:t>
      </w:r>
    </w:p>
    <w:p w14:paraId="61330F37" w14:textId="7043965F" w:rsidR="00834414" w:rsidRPr="00933E98" w:rsidRDefault="003C28DC" w:rsidP="00437308">
      <w:pPr>
        <w:rPr>
          <w:b/>
        </w:rPr>
      </w:pPr>
      <w:r>
        <w:rPr>
          <w:b/>
        </w:rPr>
        <w:fldChar w:fldCharType="end"/>
      </w:r>
    </w:p>
    <w:sectPr w:rsidR="00834414" w:rsidRPr="00933E98" w:rsidSect="00626181"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36E8" w14:textId="77777777" w:rsidR="00626181" w:rsidRDefault="00626181">
      <w:r>
        <w:separator/>
      </w:r>
    </w:p>
  </w:endnote>
  <w:endnote w:type="continuationSeparator" w:id="0">
    <w:p w14:paraId="02117D0C" w14:textId="77777777" w:rsidR="00626181" w:rsidRDefault="0062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54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23520D" w14:textId="247A740D" w:rsidR="00817117" w:rsidRDefault="00EA7A0B" w:rsidP="00430A22">
        <w:pPr>
          <w:pStyle w:val="Footer"/>
          <w:pBdr>
            <w:top w:val="single" w:sz="4" w:space="1" w:color="D9D9D9" w:themeColor="background1" w:themeShade="D9"/>
          </w:pBdr>
          <w:tabs>
            <w:tab w:val="clear" w:pos="8306"/>
            <w:tab w:val="right" w:pos="9070"/>
          </w:tabs>
          <w:jc w:val="left"/>
        </w:pPr>
        <w:r>
          <w:rPr>
            <w:i/>
          </w:rPr>
          <w:t>7</w:t>
        </w:r>
        <w:r w:rsidR="00430A22" w:rsidRPr="00430A22">
          <w:rPr>
            <w:vertAlign w:val="superscript"/>
          </w:rPr>
          <w:t>th</w:t>
        </w:r>
        <w:r w:rsidR="00430A22">
          <w:t xml:space="preserve"> </w:t>
        </w:r>
        <w:r w:rsidR="00C1120E">
          <w:rPr>
            <w:i/>
          </w:rPr>
          <w:t>Symposium</w:t>
        </w:r>
        <w:r w:rsidR="00C1120E" w:rsidRPr="001E5366">
          <w:rPr>
            <w:i/>
          </w:rPr>
          <w:t xml:space="preserve"> on Agri-Tech Economics</w:t>
        </w:r>
        <w:r>
          <w:rPr>
            <w:i/>
          </w:rPr>
          <w:t xml:space="preserve"> for Sustainable Futures</w:t>
        </w:r>
        <w:r w:rsidR="00C1120E">
          <w:rPr>
            <w:i/>
          </w:rPr>
          <w:t xml:space="preserve">                            </w:t>
        </w:r>
        <w:r w:rsidR="00C1120E">
          <w:rPr>
            <w:i/>
          </w:rPr>
          <w:tab/>
        </w:r>
        <w:r w:rsidR="00817117">
          <w:fldChar w:fldCharType="begin"/>
        </w:r>
        <w:r w:rsidR="00817117">
          <w:instrText xml:space="preserve"> PAGE   \* MERGEFORMAT </w:instrText>
        </w:r>
        <w:r w:rsidR="00817117">
          <w:fldChar w:fldCharType="separate"/>
        </w:r>
        <w:r w:rsidR="00B40F26">
          <w:rPr>
            <w:noProof/>
          </w:rPr>
          <w:t>2</w:t>
        </w:r>
        <w:r w:rsidR="00817117">
          <w:rPr>
            <w:noProof/>
          </w:rPr>
          <w:fldChar w:fldCharType="end"/>
        </w:r>
        <w:r w:rsidR="00817117">
          <w:t xml:space="preserve"> | </w:t>
        </w:r>
        <w:r w:rsidR="00817117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4FF1" w14:textId="77777777" w:rsidR="00626181" w:rsidRDefault="00626181">
      <w:r>
        <w:separator/>
      </w:r>
    </w:p>
  </w:footnote>
  <w:footnote w:type="continuationSeparator" w:id="0">
    <w:p w14:paraId="53C74CB1" w14:textId="77777777" w:rsidR="00626181" w:rsidRDefault="0062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8C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0E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0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0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8D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2F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60F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0B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CF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2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2B45CD"/>
    <w:multiLevelType w:val="hybridMultilevel"/>
    <w:tmpl w:val="BDA29D74"/>
    <w:lvl w:ilvl="0" w:tplc="1846B726">
      <w:start w:val="1"/>
      <w:numFmt w:val="decimal"/>
      <w:pStyle w:val="EndNoteBibliograph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F6B8A"/>
    <w:multiLevelType w:val="hybridMultilevel"/>
    <w:tmpl w:val="DC10D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5C9D"/>
    <w:multiLevelType w:val="hybridMultilevel"/>
    <w:tmpl w:val="85E40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95577"/>
    <w:multiLevelType w:val="hybridMultilevel"/>
    <w:tmpl w:val="D5E44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28916">
    <w:abstractNumId w:val="1"/>
  </w:num>
  <w:num w:numId="2" w16cid:durableId="436948849">
    <w:abstractNumId w:val="0"/>
  </w:num>
  <w:num w:numId="3" w16cid:durableId="992029548">
    <w:abstractNumId w:val="9"/>
  </w:num>
  <w:num w:numId="4" w16cid:durableId="478889916">
    <w:abstractNumId w:val="7"/>
  </w:num>
  <w:num w:numId="5" w16cid:durableId="466515525">
    <w:abstractNumId w:val="6"/>
  </w:num>
  <w:num w:numId="6" w16cid:durableId="2046322060">
    <w:abstractNumId w:val="5"/>
  </w:num>
  <w:num w:numId="7" w16cid:durableId="1916164002">
    <w:abstractNumId w:val="4"/>
  </w:num>
  <w:num w:numId="8" w16cid:durableId="324167821">
    <w:abstractNumId w:val="8"/>
  </w:num>
  <w:num w:numId="9" w16cid:durableId="176431840">
    <w:abstractNumId w:val="3"/>
  </w:num>
  <w:num w:numId="10" w16cid:durableId="741029082">
    <w:abstractNumId w:val="2"/>
  </w:num>
  <w:num w:numId="11" w16cid:durableId="1988052961">
    <w:abstractNumId w:val="10"/>
  </w:num>
  <w:num w:numId="12" w16cid:durableId="2129545114">
    <w:abstractNumId w:val="11"/>
  </w:num>
  <w:num w:numId="13" w16cid:durableId="956957213">
    <w:abstractNumId w:val="13"/>
  </w:num>
  <w:num w:numId="14" w16cid:durableId="1346635362">
    <w:abstractNumId w:val="12"/>
  </w:num>
  <w:num w:numId="15" w16cid:durableId="213309069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xwedpayarrrpewdawvw096prxrpppvszwp&quot;&gt;References held 2-Saved&lt;record-ids&gt;&lt;item&gt;45&lt;/item&gt;&lt;item&gt;1658&lt;/item&gt;&lt;item&gt;1693&lt;/item&gt;&lt;item&gt;1697&lt;/item&gt;&lt;/record-ids&gt;&lt;/item&gt;&lt;/Libraries&gt;"/>
  </w:docVars>
  <w:rsids>
    <w:rsidRoot w:val="00234492"/>
    <w:rsid w:val="000105CA"/>
    <w:rsid w:val="00027273"/>
    <w:rsid w:val="00036812"/>
    <w:rsid w:val="00045FA4"/>
    <w:rsid w:val="00055367"/>
    <w:rsid w:val="00060540"/>
    <w:rsid w:val="000868F1"/>
    <w:rsid w:val="00093351"/>
    <w:rsid w:val="000C7FAC"/>
    <w:rsid w:val="000D3AE8"/>
    <w:rsid w:val="000E12DD"/>
    <w:rsid w:val="000F03C0"/>
    <w:rsid w:val="000F5250"/>
    <w:rsid w:val="0010632B"/>
    <w:rsid w:val="00147CBD"/>
    <w:rsid w:val="00152CEE"/>
    <w:rsid w:val="0017354B"/>
    <w:rsid w:val="001D09EF"/>
    <w:rsid w:val="001E2A1D"/>
    <w:rsid w:val="001E4F2A"/>
    <w:rsid w:val="001F11BC"/>
    <w:rsid w:val="00203F67"/>
    <w:rsid w:val="002243CE"/>
    <w:rsid w:val="00226169"/>
    <w:rsid w:val="00234492"/>
    <w:rsid w:val="00235FC4"/>
    <w:rsid w:val="00267829"/>
    <w:rsid w:val="00271D21"/>
    <w:rsid w:val="00297A59"/>
    <w:rsid w:val="002C7882"/>
    <w:rsid w:val="002D7669"/>
    <w:rsid w:val="002E239B"/>
    <w:rsid w:val="002E27C3"/>
    <w:rsid w:val="00305D25"/>
    <w:rsid w:val="00317DD9"/>
    <w:rsid w:val="003578C0"/>
    <w:rsid w:val="0036447B"/>
    <w:rsid w:val="003646DF"/>
    <w:rsid w:val="003759ED"/>
    <w:rsid w:val="003C28DC"/>
    <w:rsid w:val="003E2869"/>
    <w:rsid w:val="003F626D"/>
    <w:rsid w:val="00412AB4"/>
    <w:rsid w:val="00413C84"/>
    <w:rsid w:val="00422210"/>
    <w:rsid w:val="00430A22"/>
    <w:rsid w:val="00437308"/>
    <w:rsid w:val="00447623"/>
    <w:rsid w:val="004672C8"/>
    <w:rsid w:val="00473373"/>
    <w:rsid w:val="005336F3"/>
    <w:rsid w:val="0054400B"/>
    <w:rsid w:val="0054616E"/>
    <w:rsid w:val="00560B8F"/>
    <w:rsid w:val="00587F8A"/>
    <w:rsid w:val="00597D8B"/>
    <w:rsid w:val="005E333F"/>
    <w:rsid w:val="005F4275"/>
    <w:rsid w:val="005F5E93"/>
    <w:rsid w:val="006228BA"/>
    <w:rsid w:val="00626181"/>
    <w:rsid w:val="00632630"/>
    <w:rsid w:val="006356A9"/>
    <w:rsid w:val="00656872"/>
    <w:rsid w:val="00664A89"/>
    <w:rsid w:val="00681D36"/>
    <w:rsid w:val="00682399"/>
    <w:rsid w:val="00692424"/>
    <w:rsid w:val="006C6DD6"/>
    <w:rsid w:val="006F785F"/>
    <w:rsid w:val="00714427"/>
    <w:rsid w:val="00724454"/>
    <w:rsid w:val="007A0B21"/>
    <w:rsid w:val="007C45FD"/>
    <w:rsid w:val="00805D63"/>
    <w:rsid w:val="00817117"/>
    <w:rsid w:val="008261B8"/>
    <w:rsid w:val="00834414"/>
    <w:rsid w:val="008827C2"/>
    <w:rsid w:val="00890F27"/>
    <w:rsid w:val="008A632A"/>
    <w:rsid w:val="008E3AB0"/>
    <w:rsid w:val="00900018"/>
    <w:rsid w:val="00904596"/>
    <w:rsid w:val="00933E98"/>
    <w:rsid w:val="00941102"/>
    <w:rsid w:val="00941B4A"/>
    <w:rsid w:val="0098123D"/>
    <w:rsid w:val="009832D5"/>
    <w:rsid w:val="009B7E16"/>
    <w:rsid w:val="009C0239"/>
    <w:rsid w:val="009E3A34"/>
    <w:rsid w:val="00A24842"/>
    <w:rsid w:val="00A256B1"/>
    <w:rsid w:val="00A3048F"/>
    <w:rsid w:val="00A31114"/>
    <w:rsid w:val="00AA5E20"/>
    <w:rsid w:val="00AD4113"/>
    <w:rsid w:val="00AF69E4"/>
    <w:rsid w:val="00B17746"/>
    <w:rsid w:val="00B3498D"/>
    <w:rsid w:val="00B40F26"/>
    <w:rsid w:val="00B51AC9"/>
    <w:rsid w:val="00B529F6"/>
    <w:rsid w:val="00B533B9"/>
    <w:rsid w:val="00B93289"/>
    <w:rsid w:val="00B94377"/>
    <w:rsid w:val="00BB140D"/>
    <w:rsid w:val="00BE2C6A"/>
    <w:rsid w:val="00BE3738"/>
    <w:rsid w:val="00BF3431"/>
    <w:rsid w:val="00C0290B"/>
    <w:rsid w:val="00C1120E"/>
    <w:rsid w:val="00C24A00"/>
    <w:rsid w:val="00C35582"/>
    <w:rsid w:val="00C51FD4"/>
    <w:rsid w:val="00C54342"/>
    <w:rsid w:val="00C56133"/>
    <w:rsid w:val="00C65276"/>
    <w:rsid w:val="00C71CC8"/>
    <w:rsid w:val="00C7596D"/>
    <w:rsid w:val="00C91D1A"/>
    <w:rsid w:val="00C921C5"/>
    <w:rsid w:val="00D32FD2"/>
    <w:rsid w:val="00D84CF5"/>
    <w:rsid w:val="00D866F4"/>
    <w:rsid w:val="00E04961"/>
    <w:rsid w:val="00E162BC"/>
    <w:rsid w:val="00E46DF7"/>
    <w:rsid w:val="00EA7A0B"/>
    <w:rsid w:val="00EC5B28"/>
    <w:rsid w:val="00ED7C0C"/>
    <w:rsid w:val="00F01225"/>
    <w:rsid w:val="00F13E50"/>
    <w:rsid w:val="00F149A6"/>
    <w:rsid w:val="00F30D99"/>
    <w:rsid w:val="00F31DAF"/>
    <w:rsid w:val="00F32A6D"/>
    <w:rsid w:val="00F6715C"/>
    <w:rsid w:val="00F702C0"/>
    <w:rsid w:val="00FD5F9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9AC3"/>
  <w15:chartTrackingRefBased/>
  <w15:docId w15:val="{9F19CB4C-8919-48E8-AF26-6B8279A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5F"/>
    <w:pPr>
      <w:spacing w:after="240"/>
      <w:jc w:val="both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20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69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9E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69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6B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56B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9E4"/>
    <w:pPr>
      <w:spacing w:after="300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69E4"/>
    <w:rPr>
      <w:rFonts w:ascii="Times New Roman" w:eastAsia="Times New Roman" w:hAnsi="Times New Roman" w:cs="Times New Roman"/>
      <w:color w:val="000000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F69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F69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AF69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540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05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C1120E"/>
    <w:rPr>
      <w:rFonts w:eastAsia="Times New Roman"/>
      <w:b/>
      <w:bCs/>
      <w:color w:val="002060"/>
      <w:sz w:val="28"/>
      <w:szCs w:val="28"/>
      <w:lang w:eastAsia="en-US"/>
    </w:rPr>
  </w:style>
  <w:style w:type="character" w:styleId="PlaceholderText">
    <w:name w:val="Placeholder Text"/>
    <w:uiPriority w:val="99"/>
    <w:semiHidden/>
    <w:rsid w:val="00C56133"/>
    <w:rPr>
      <w:color w:val="808080"/>
    </w:rPr>
  </w:style>
  <w:style w:type="paragraph" w:styleId="Header">
    <w:name w:val="header"/>
    <w:basedOn w:val="Normal"/>
    <w:rsid w:val="003F62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26D"/>
    <w:pPr>
      <w:tabs>
        <w:tab w:val="center" w:pos="4153"/>
        <w:tab w:val="right" w:pos="8306"/>
      </w:tabs>
    </w:pPr>
  </w:style>
  <w:style w:type="character" w:customStyle="1" w:styleId="StyleKernat7pt">
    <w:name w:val="Style Kern at 7 pt"/>
    <w:rsid w:val="003F626D"/>
    <w:rPr>
      <w:rFonts w:ascii="Times New Roman" w:hAnsi="Times New Roman"/>
      <w:kern w:val="14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7117"/>
    <w:rPr>
      <w:rFonts w:asciiTheme="minorHAnsi" w:hAnsiTheme="minorHAnsi"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C0290B"/>
    <w:pPr>
      <w:spacing w:after="200"/>
      <w:jc w:val="left"/>
    </w:pPr>
    <w:rPr>
      <w:rFonts w:ascii="Calibri" w:eastAsia="Times New Roman" w:hAnsi="Calibri"/>
      <w:b/>
      <w:bCs/>
      <w:color w:val="4F81BD"/>
      <w:sz w:val="18"/>
      <w:szCs w:val="18"/>
      <w:lang w:val="en-US" w:bidi="en-US"/>
    </w:rPr>
  </w:style>
  <w:style w:type="character" w:styleId="Hyperlink">
    <w:name w:val="Hyperlink"/>
    <w:uiPriority w:val="99"/>
    <w:unhideWhenUsed/>
    <w:rsid w:val="009832D5"/>
    <w:rPr>
      <w:color w:val="0000FF"/>
      <w:u w:val="single"/>
    </w:rPr>
  </w:style>
  <w:style w:type="paragraph" w:customStyle="1" w:styleId="EndNoteBibliography">
    <w:name w:val="EndNote Bibliography"/>
    <w:basedOn w:val="Normal"/>
    <w:rsid w:val="009832D5"/>
    <w:pPr>
      <w:numPr>
        <w:numId w:val="11"/>
      </w:numPr>
      <w:spacing w:after="200"/>
      <w:ind w:left="0" w:firstLine="0"/>
      <w:jc w:val="left"/>
    </w:pPr>
    <w:rPr>
      <w:rFonts w:ascii="Calibri" w:eastAsia="Times New Roman" w:hAnsi="Calibri" w:cs="Calibri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32D5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C28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28DC"/>
    <w:rPr>
      <w:rFonts w:cs="Calibri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82351389493399"/>
          <c:y val="9.2550060455926161E-2"/>
          <c:w val="0.83847865750449535"/>
          <c:h val="0.74858061281665622"/>
        </c:manualLayout>
      </c:layout>
      <c:scatterChart>
        <c:scatterStyle val="lineMarker"/>
        <c:varyColors val="0"/>
        <c:ser>
          <c:idx val="0"/>
          <c:order val="0"/>
          <c:tx>
            <c:strRef>
              <c:f>TechNoteCompare!$AJ$6</c:f>
              <c:strCache>
                <c:ptCount val="1"/>
                <c:pt idx="0">
                  <c:v>Conv.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11"/>
            <c:spPr>
              <a:solidFill>
                <a:schemeClr val="accent1"/>
              </a:solidFill>
              <a:ln w="9525">
                <a:solidFill>
                  <a:srgbClr val="00B0F0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TechNoteCompare!$AJ$7:$AJ$10</c:f>
              <c:numCache>
                <c:formatCode>0</c:formatCode>
                <c:ptCount val="4"/>
                <c:pt idx="0">
                  <c:v>166.35727842527842</c:v>
                </c:pt>
                <c:pt idx="1">
                  <c:v>148.67030159498083</c:v>
                </c:pt>
                <c:pt idx="2">
                  <c:v>136.34039921580768</c:v>
                </c:pt>
                <c:pt idx="3">
                  <c:v>131.43070978266178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14-4414-A973-8524944949D1}"/>
            </c:ext>
          </c:extLst>
        </c:ser>
        <c:ser>
          <c:idx val="1"/>
          <c:order val="1"/>
          <c:tx>
            <c:strRef>
              <c:f>TechNoteCompare!$AK$6</c:f>
              <c:strCache>
                <c:ptCount val="1"/>
                <c:pt idx="0">
                  <c:v>10% Supervision Time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TechNoteCompare!$AK$7:$AK$10</c:f>
              <c:numCache>
                <c:formatCode>0</c:formatCode>
                <c:ptCount val="4"/>
                <c:pt idx="0">
                  <c:v>131.98191637991641</c:v>
                </c:pt>
                <c:pt idx="1">
                  <c:v>121.54915127360408</c:v>
                </c:pt>
                <c:pt idx="2">
                  <c:v>118.27008392233746</c:v>
                </c:pt>
                <c:pt idx="3">
                  <c:v>114.89258288644689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14-4414-A973-8524944949D1}"/>
            </c:ext>
          </c:extLst>
        </c:ser>
        <c:ser>
          <c:idx val="2"/>
          <c:order val="2"/>
          <c:tx>
            <c:strRef>
              <c:f>TechNoteCompare!$AL$6</c:f>
              <c:strCache>
                <c:ptCount val="1"/>
                <c:pt idx="0">
                  <c:v>50% Supervision Time 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star"/>
            <c:size val="16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TechNoteCompare!$AL$7:$AL$10</c:f>
              <c:numCache>
                <c:formatCode>0</c:formatCode>
                <c:ptCount val="4"/>
                <c:pt idx="0">
                  <c:v>147.8675560735561</c:v>
                </c:pt>
                <c:pt idx="1">
                  <c:v>133.74516463550424</c:v>
                </c:pt>
                <c:pt idx="2">
                  <c:v>122.84344821063132</c:v>
                </c:pt>
                <c:pt idx="3">
                  <c:v>117.06474394139195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C14-4414-A973-8524944949D1}"/>
            </c:ext>
          </c:extLst>
        </c:ser>
        <c:ser>
          <c:idx val="3"/>
          <c:order val="3"/>
          <c:tx>
            <c:v>100% Supervision Time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diamond"/>
            <c:size val="12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TechNoteCompare!$AH$7:$AH$10</c:f>
              <c:numCache>
                <c:formatCode>General</c:formatCode>
                <c:ptCount val="4"/>
                <c:pt idx="0">
                  <c:v>66</c:v>
                </c:pt>
                <c:pt idx="1">
                  <c:v>159</c:v>
                </c:pt>
                <c:pt idx="2">
                  <c:v>284</c:v>
                </c:pt>
                <c:pt idx="3">
                  <c:v>500</c:v>
                </c:pt>
              </c:numCache>
            </c:numRef>
          </c:xVal>
          <c:yVal>
            <c:numRef>
              <c:f>TechNoteCompare!$AM$7:$AM$10</c:f>
              <c:numCache>
                <c:formatCode>0</c:formatCode>
                <c:ptCount val="4"/>
                <c:pt idx="0">
                  <c:v>167.72558604358608</c:v>
                </c:pt>
                <c:pt idx="1">
                  <c:v>143.00099710492159</c:v>
                </c:pt>
                <c:pt idx="2">
                  <c:v>127.95224643588024</c:v>
                </c:pt>
                <c:pt idx="3">
                  <c:v>119.88717676190475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C14-4414-A973-852494494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535792"/>
        <c:axId val="343540496"/>
      </c:scatterChart>
      <c:valAx>
        <c:axId val="34353579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540496"/>
        <c:crosses val="autoZero"/>
        <c:crossBetween val="midCat"/>
      </c:valAx>
      <c:valAx>
        <c:axId val="343540496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535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01688551742162"/>
          <c:y val="0.13838352024178796"/>
          <c:w val="0.63798311448257838"/>
          <c:h val="0.1190289724695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ysClr val="windowText" lastClr="000000"/>
          </a:solidFill>
          <a:latin typeface="+mn-lt"/>
        </a:defRPr>
      </a:pPr>
      <a:endParaRPr lang="en-US"/>
    </a:p>
  </c:txPr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0.4213</cdr:x>
      <cdr:y>0.92554</cdr:y>
    </cdr:from>
    <cdr:to>
      <cdr:x>0.64981</cdr:x>
      <cdr:y>0.99719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395663" y="3138414"/>
          <a:ext cx="1299405" cy="242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>
              <a:latin typeface="+mn-lt"/>
              <a:cs typeface="Times New Roman" panose="02020603050405020304" pitchFamily="18" charset="0"/>
            </a:rPr>
            <a:t>Farm Size (ha)</a:t>
          </a:r>
        </a:p>
      </cdr:txBody>
    </cdr:sp>
  </cdr:relSizeAnchor>
  <cdr:relSizeAnchor xmlns:cdr="http://schemas.openxmlformats.org/drawingml/2006/chartDrawing">
    <cdr:from>
      <cdr:x>0.00639</cdr:x>
      <cdr:y>0.10393</cdr:y>
    </cdr:from>
    <cdr:to>
      <cdr:x>0.05695</cdr:x>
      <cdr:y>0.8427</cdr:y>
    </cdr:to>
    <cdr:sp macro="" textlink="">
      <cdr:nvSpPr>
        <cdr:cNvPr id="3" name="Text Box 2"/>
        <cdr:cNvSpPr txBox="1"/>
      </cdr:nvSpPr>
      <cdr:spPr>
        <a:xfrm xmlns:a="http://schemas.openxmlformats.org/drawingml/2006/main" rot="16200000">
          <a:off x="-1071540" y="1460481"/>
          <a:ext cx="2505074" cy="288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>
              <a:latin typeface="+mn-lt"/>
              <a:cs typeface="Times New Roman" panose="02020603050405020304" pitchFamily="18" charset="0"/>
            </a:rPr>
            <a:t>Wheat Cost of Production (£/ton)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4D03-39B0-451F-B14A-1557B583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proceedings template</vt:lpstr>
    </vt:vector>
  </TitlesOfParts>
  <Manager>kbehrendt@harper-adams.ac.uk</Manager>
  <Company>Harper Adams University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proceedings template</dc:title>
  <dc:subject/>
  <dc:creator>kbehrendt@harper-adams.ac.uk</dc:creator>
  <cp:keywords>Agri-Tech Economics</cp:keywords>
  <dc:description>Contributed paper prepared for presentation at the INFER Workshop on Agri-Tech Economics for Sustainable Futures, Harper Adams University, September 21-22, 2020</dc:description>
  <cp:lastModifiedBy>Karl Behrendt</cp:lastModifiedBy>
  <cp:revision>3</cp:revision>
  <cp:lastPrinted>2012-05-22T03:03:00Z</cp:lastPrinted>
  <dcterms:created xsi:type="dcterms:W3CDTF">2024-04-16T09:39:00Z</dcterms:created>
  <dcterms:modified xsi:type="dcterms:W3CDTF">2024-04-16T09:46:00Z</dcterms:modified>
</cp:coreProperties>
</file>